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cs="黑体"/>
          <w:sz w:val="52"/>
          <w:szCs w:val="52"/>
        </w:rPr>
      </w:pPr>
      <w:r>
        <w:rPr>
          <w:rFonts w:hint="eastAsia" w:ascii="隶书" w:hAnsi="隶书" w:eastAsia="隶书" w:cs="隶书"/>
          <w:sz w:val="52"/>
          <w:szCs w:val="52"/>
        </w:rPr>
        <w:t>共青团郏县委员会</w:t>
      </w:r>
    </w:p>
    <w:p>
      <w:pPr>
        <w:jc w:val="center"/>
        <w:sectPr>
          <w:headerReference r:id="rId6" w:type="first"/>
          <w:footerReference r:id="rId9" w:type="first"/>
          <w:headerReference r:id="rId4" w:type="default"/>
          <w:footerReference r:id="rId7" w:type="default"/>
          <w:headerReference r:id="rId5" w:type="even"/>
          <w:footerReference r:id="rId8" w:type="even"/>
          <w:pgSz w:w="11906" w:h="16838"/>
          <w:pgMar w:top="1440" w:right="1531" w:bottom="1440" w:left="1587" w:header="850" w:footer="992" w:gutter="0"/>
          <w:pgNumType w:fmt="numberInDash" w:start="1"/>
          <w:cols w:space="720" w:num="1"/>
          <w:docGrid w:type="lines" w:linePitch="317"/>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团县委概况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团县委</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团县委</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sectPr>
          <w:footerReference r:id="rId10" w:type="default"/>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第一部分　　团县委概况</w:t>
      </w:r>
    </w:p>
    <w:p>
      <w:pPr>
        <w:jc w:val="center"/>
        <w:outlineLvl w:val="0"/>
        <w:rPr>
          <w:rFonts w:ascii="隶书" w:hAnsi="隶书" w:eastAsia="隶书" w:cs="隶书"/>
          <w:sz w:val="48"/>
          <w:szCs w:val="48"/>
        </w:rPr>
      </w:pPr>
    </w:p>
    <w:p>
      <w:pPr>
        <w:spacing w:line="360" w:lineRule="auto"/>
        <w:ind w:firstLine="640" w:firstLineChars="200"/>
        <w:jc w:val="left"/>
        <w:outlineLvl w:val="1"/>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一、主要职责</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依照《党章》和团章，在充分发挥共青团的政治功能的前提下，完善和拓展共青团的社会功能，积极承担县委、县政府委托的青少年事务，建立于社会市场经济相适应共青团工作和青年工作运行机制，更好地发挥党的助手和后备军作用，更好地发挥党和政府联系青年的桥梁和纽带作用。</w:t>
      </w:r>
    </w:p>
    <w:p>
      <w:p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二、部门决算单位构成</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、团县委本级</w:t>
      </w:r>
    </w:p>
    <w:p>
      <w:pPr>
        <w:kinsoku w:val="0"/>
        <w:overflowPunct w:val="0"/>
        <w:adjustRightInd w:val="0"/>
        <w:snapToGrid w:val="0"/>
        <w:spacing w:line="360" w:lineRule="auto"/>
        <w:ind w:right="3569" w:firstLine="640" w:firstLineChars="200"/>
        <w:jc w:val="left"/>
        <w:rPr>
          <w:rFonts w:ascii="仿宋_GB2312" w:hAnsi="Times New Roman"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、内设机构</w:t>
      </w:r>
      <w:r>
        <w:rPr>
          <w:rFonts w:hint="eastAsia" w:ascii="仿宋" w:hAnsi="仿宋" w:eastAsia="仿宋" w:cs="仿宋"/>
          <w:sz w:val="32"/>
          <w:szCs w:val="32"/>
        </w:rPr>
        <w:t>少工委。</w:t>
      </w:r>
    </w:p>
    <w:p>
      <w:pPr>
        <w:jc w:val="center"/>
        <w:outlineLvl w:val="0"/>
        <w:sectPr>
          <w:footerReference r:id="rId11" w:type="default"/>
          <w:pgSz w:w="11906" w:h="16838"/>
          <w:pgMar w:top="1440" w:right="1531" w:bottom="1440" w:left="1587" w:header="850" w:footer="992" w:gutter="0"/>
          <w:pgNumType w:fmt="numberInDash" w:start="1"/>
          <w:cols w:space="720" w:num="1"/>
          <w:docGrid w:type="lines" w:linePitch="317"/>
        </w:sect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rPr>
        <w:t>团县委</w:t>
      </w:r>
      <w:r>
        <w:rPr>
          <w:rFonts w:ascii="隶书" w:hAnsi="隶书" w:eastAsia="隶书" w:cs="隶书"/>
          <w:sz w:val="48"/>
          <w:szCs w:val="48"/>
        </w:rPr>
        <w:t>2016</w:t>
      </w:r>
      <w:r>
        <w:rPr>
          <w:rFonts w:hint="eastAsia" w:ascii="隶书" w:hAnsi="隶书" w:eastAsia="隶书" w:cs="隶书"/>
          <w:sz w:val="48"/>
          <w:szCs w:val="48"/>
        </w:rPr>
        <w:t>年度部门决算表</w:t>
      </w:r>
    </w:p>
    <w:tbl>
      <w:tblPr>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szCs w:val="22"/>
              </w:rPr>
            </w:pPr>
            <w:r>
              <w:rPr>
                <w:rFonts w:cs="Arial"/>
                <w:color w:val="000000"/>
                <w:sz w:val="22"/>
                <w:szCs w:val="22"/>
              </w:rPr>
              <w:t>27.41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22.37</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27.41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r>
              <w:rPr>
                <w:rFonts w:ascii="宋体" w:cs="宋体"/>
                <w:b/>
                <w:color w:val="000000"/>
                <w:sz w:val="16"/>
                <w:szCs w:val="16"/>
              </w:rPr>
              <w:t>26.41</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0.59</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1.58</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28</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b/>
                <w:color w:val="000000"/>
                <w:sz w:val="16"/>
                <w:szCs w:val="16"/>
              </w:rPr>
            </w:pPr>
            <w:r>
              <w:rPr>
                <w:rFonts w:ascii="宋体" w:cs="宋体"/>
                <w:b/>
                <w:color w:val="000000"/>
                <w:sz w:val="16"/>
                <w:szCs w:val="16"/>
              </w:rPr>
              <w:t>28</w:t>
            </w:r>
          </w:p>
        </w:tc>
      </w:tr>
      <w:tr>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sectPr>
          <w:pgSz w:w="11906" w:h="16838"/>
          <w:pgMar w:top="1440" w:right="1800" w:bottom="1440" w:left="1800" w:header="851" w:footer="992" w:gutter="0"/>
          <w:pgNumType w:fmt="numberInDash"/>
          <w:cols w:space="720" w:num="1"/>
          <w:docGrid w:type="lines" w:linePitch="312"/>
        </w:sectPr>
      </w:pPr>
    </w:p>
    <w:tbl>
      <w:tblPr>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rPr>
          <w:trHeight w:val="285"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rPr>
          <w:trHeight w:val="270"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27.41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27.41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群众团体事务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23.41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归口管理的行政事业单位离退休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rPr>
          <w:trHeight w:val="285" w:hRule="atLeast"/>
        </w:trPr>
        <w:tc>
          <w:tcPr>
            <w:tcW w:w="10337"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docGrid w:type="lines" w:linePitch="317"/>
        </w:sectPr>
      </w:pPr>
    </w:p>
    <w:tbl>
      <w:tblPr>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r>
            <w:r>
              <w:rPr>
                <w:rFonts w:hint="eastAsia" w:ascii="宋体" w:hAnsi="宋体" w:cs="宋体"/>
                <w:b/>
                <w:color w:val="000000"/>
                <w:kern w:val="0"/>
                <w:sz w:val="16"/>
                <w:szCs w:val="16"/>
              </w:rPr>
              <w:t>补助支出</w:t>
            </w:r>
          </w:p>
        </w:tc>
      </w:tr>
      <w:tr>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22.37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22.37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群众团体事务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22.37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22.37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归口管理的行政事业单位离退休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docGrid w:type="lines" w:linePitch="318"/>
        </w:sectPr>
      </w:pPr>
    </w:p>
    <w:tbl>
      <w:tblPr>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27.41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27.41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0.59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1.58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1.58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0.59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28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28 </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28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p>
      <w:pPr>
        <w:spacing w:line="360" w:lineRule="auto"/>
        <w:rPr>
          <w:rFonts w:ascii="隶书" w:hAnsi="隶书" w:eastAsia="隶书" w:cs="隶书"/>
          <w:sz w:val="52"/>
          <w:szCs w:val="52"/>
        </w:rPr>
      </w:pPr>
    </w:p>
    <w:tbl>
      <w:tblPr>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26.41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22.37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22.37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群众团体事务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22.37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2012901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22.37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22.37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归口管理的行政事业单位离退休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13.45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8.87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11.16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3.75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1.60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0.18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0.29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0.41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0.87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4.09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0.83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4.04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0.80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1.26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0.98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0.05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0.20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0.98</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0.98</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0.98</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0.98</w:t>
            </w:r>
          </w:p>
        </w:tc>
      </w:tr>
      <w:tr>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w:t>
            </w:r>
            <w:r>
              <w:rPr>
                <w:rFonts w:ascii="宋体" w:hAnsi="宋体" w:cs="宋体"/>
                <w:b/>
                <w:color w:val="FF0000"/>
                <w:kern w:val="0"/>
                <w:sz w:val="20"/>
                <w:szCs w:val="20"/>
              </w:rPr>
              <w:t>xx</w:t>
            </w:r>
            <w:r>
              <w:rPr>
                <w:rFonts w:hint="eastAsia" w:ascii="宋体" w:hAnsi="宋体" w:cs="宋体"/>
                <w:b/>
                <w:color w:val="FF0000"/>
                <w:kern w:val="0"/>
                <w:sz w:val="20"/>
                <w:szCs w:val="20"/>
              </w:rPr>
              <w:t>厅（局）没有政府性基金收入，也没有使用政府性基金安排的支出，故本表无数据。</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rPr>
        <w:t>团县委</w:t>
      </w:r>
      <w:r>
        <w:rPr>
          <w:rFonts w:ascii="隶书" w:hAnsi="隶书" w:eastAsia="隶书" w:cs="隶书"/>
          <w:sz w:val="48"/>
          <w:szCs w:val="48"/>
        </w:rPr>
        <w:t>2016</w:t>
      </w:r>
      <w:r>
        <w:rPr>
          <w:rFonts w:hint="eastAsia" w:ascii="隶书" w:hAnsi="隶书" w:eastAsia="隶书" w:cs="隶书"/>
          <w:sz w:val="48"/>
          <w:szCs w:val="48"/>
        </w:rPr>
        <w:t>年度部门决算情况说明</w:t>
      </w:r>
    </w:p>
    <w:p>
      <w:p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一、关于收入支出决算总体情况说明</w:t>
      </w:r>
    </w:p>
    <w:p>
      <w:pPr>
        <w:adjustRightInd w:val="0"/>
        <w:snapToGrid w:val="0"/>
        <w:spacing w:line="360" w:lineRule="auto"/>
        <w:ind w:firstLine="640" w:firstLineChars="200"/>
        <w:rPr>
          <w:rFonts w:hint="eastAsia"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ascii="仿宋_GB2312" w:hAnsi="宋体" w:eastAsia="仿宋_GB2312" w:cs="Courier New"/>
          <w:sz w:val="32"/>
          <w:szCs w:val="32"/>
        </w:rPr>
        <w:t>27.41</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26.41</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年相比，收入总计增加</w:t>
      </w:r>
      <w:r>
        <w:rPr>
          <w:rFonts w:ascii="仿宋_GB2312" w:hAnsi="宋体" w:eastAsia="仿宋_GB2312" w:cs="Courier New"/>
          <w:sz w:val="32"/>
          <w:szCs w:val="32"/>
        </w:rPr>
        <w:t>2.01</w:t>
      </w:r>
      <w:r>
        <w:rPr>
          <w:rFonts w:hint="eastAsia" w:ascii="仿宋_GB2312" w:hAnsi="宋体" w:eastAsia="仿宋_GB2312" w:cs="Courier New"/>
          <w:sz w:val="32"/>
          <w:szCs w:val="32"/>
        </w:rPr>
        <w:t>万元，增长7.9%，主要原因是</w:t>
      </w:r>
      <w:r>
        <w:rPr>
          <w:rFonts w:hint="eastAsia" w:ascii="仿宋_GB2312" w:hAnsi="宋体" w:eastAsia="仿宋_GB2312" w:cs="Courier New"/>
          <w:sz w:val="32"/>
          <w:szCs w:val="32"/>
          <w:lang w:eastAsia="zh-CN"/>
        </w:rPr>
        <w:t>财政拨款收入</w:t>
      </w:r>
      <w:r>
        <w:rPr>
          <w:rFonts w:hint="eastAsia" w:ascii="仿宋_GB2312" w:hAnsi="宋体" w:eastAsia="仿宋_GB2312" w:cs="Courier New"/>
          <w:sz w:val="32"/>
          <w:szCs w:val="32"/>
        </w:rPr>
        <w:t>增加等。与2015年相比，支出总计增加0.61万元，增长2.3%，主要原因是</w:t>
      </w:r>
      <w:r>
        <w:rPr>
          <w:rFonts w:hint="eastAsia" w:ascii="仿宋_GB2312" w:hAnsi="宋体" w:eastAsia="仿宋_GB2312" w:cs="Courier New"/>
          <w:sz w:val="32"/>
          <w:szCs w:val="32"/>
          <w:lang w:eastAsia="zh-CN"/>
        </w:rPr>
        <w:t>财政拨款收入</w:t>
      </w:r>
      <w:r>
        <w:rPr>
          <w:rFonts w:hint="eastAsia" w:ascii="仿宋_GB2312" w:hAnsi="宋体" w:eastAsia="仿宋_GB2312" w:cs="Courier New"/>
          <w:sz w:val="32"/>
          <w:szCs w:val="32"/>
        </w:rPr>
        <w:t>增加等。</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ascii="仿宋_GB2312" w:hAnsi="Times New Roman" w:eastAsia="仿宋_GB2312"/>
          <w:sz w:val="32"/>
          <w:szCs w:val="32"/>
        </w:rPr>
        <w:t>27.41</w:t>
      </w:r>
      <w:r>
        <w:rPr>
          <w:rFonts w:hint="eastAsia" w:ascii="仿宋_GB2312" w:hAnsi="Times New Roman" w:eastAsia="仿宋_GB2312"/>
          <w:sz w:val="32"/>
          <w:szCs w:val="32"/>
        </w:rPr>
        <w:t>万元，其中：财政拨款收入</w:t>
      </w:r>
      <w:r>
        <w:rPr>
          <w:rFonts w:ascii="仿宋_GB2312" w:hAnsi="Times New Roman" w:eastAsia="仿宋_GB2312"/>
          <w:sz w:val="32"/>
          <w:szCs w:val="32"/>
        </w:rPr>
        <w:t>27.41</w:t>
      </w:r>
      <w:r>
        <w:rPr>
          <w:rFonts w:hint="eastAsia" w:ascii="仿宋_GB2312" w:hAnsi="Times New Roman" w:eastAsia="仿宋_GB2312"/>
          <w:sz w:val="32"/>
          <w:szCs w:val="32"/>
        </w:rPr>
        <w:t>万元，占</w:t>
      </w:r>
      <w:r>
        <w:rPr>
          <w:rFonts w:ascii="仿宋_GB2312" w:hAnsi="Times New Roman" w:eastAsia="仿宋_GB2312"/>
          <w:sz w:val="32"/>
          <w:szCs w:val="32"/>
        </w:rPr>
        <w:t>100%</w:t>
      </w:r>
      <w:r>
        <w:rPr>
          <w:rFonts w:hint="eastAsia" w:ascii="仿宋_GB2312" w:hAnsi="Times New Roman" w:eastAsia="仿宋_GB2312"/>
          <w:sz w:val="32"/>
          <w:szCs w:val="32"/>
        </w:rPr>
        <w:t>；无事业收入、其他收入。</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ascii="仿宋_GB2312" w:hAnsi="宋体" w:eastAsia="仿宋_GB2312" w:cs="Courier New"/>
          <w:sz w:val="32"/>
          <w:szCs w:val="32"/>
        </w:rPr>
        <w:t>26.41</w:t>
      </w:r>
      <w:r>
        <w:rPr>
          <w:rFonts w:hint="eastAsia" w:ascii="仿宋_GB2312" w:hAnsi="宋体" w:eastAsia="仿宋_GB2312" w:cs="Courier New"/>
          <w:sz w:val="32"/>
          <w:szCs w:val="32"/>
        </w:rPr>
        <w:t>万元，其中：基本支出</w:t>
      </w:r>
      <w:r>
        <w:rPr>
          <w:rFonts w:ascii="仿宋_GB2312" w:hAnsi="宋体" w:eastAsia="仿宋_GB2312" w:cs="Courier New"/>
          <w:sz w:val="32"/>
          <w:szCs w:val="32"/>
        </w:rPr>
        <w:t>26.41</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；无项目支出、经营支出。</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年财政拨款收入总计</w:t>
      </w:r>
      <w:r>
        <w:rPr>
          <w:rFonts w:ascii="仿宋_GB2312" w:hAnsi="宋体" w:eastAsia="仿宋_GB2312" w:cs="Courier New"/>
          <w:sz w:val="32"/>
          <w:szCs w:val="32"/>
        </w:rPr>
        <w:t>27.41</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26.41</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年相比，收入总计增加</w:t>
      </w:r>
      <w:r>
        <w:rPr>
          <w:rFonts w:ascii="仿宋_GB2312" w:hAnsi="宋体" w:eastAsia="仿宋_GB2312" w:cs="Courier New"/>
          <w:sz w:val="32"/>
          <w:szCs w:val="32"/>
        </w:rPr>
        <w:t>2.01</w:t>
      </w:r>
      <w:r>
        <w:rPr>
          <w:rFonts w:hint="eastAsia" w:ascii="仿宋_GB2312" w:hAnsi="宋体" w:eastAsia="仿宋_GB2312" w:cs="Courier New"/>
          <w:sz w:val="32"/>
          <w:szCs w:val="32"/>
        </w:rPr>
        <w:t>万元，增长</w:t>
      </w:r>
      <w:r>
        <w:rPr>
          <w:rFonts w:ascii="仿宋_GB2312" w:hAnsi="宋体" w:eastAsia="仿宋_GB2312" w:cs="Courier New"/>
          <w:sz w:val="32"/>
          <w:szCs w:val="32"/>
        </w:rPr>
        <w:t>7.9%</w:t>
      </w:r>
      <w:r>
        <w:rPr>
          <w:rFonts w:hint="eastAsia" w:ascii="仿宋_GB2312" w:hAnsi="宋体" w:eastAsia="仿宋_GB2312" w:cs="Courier New"/>
          <w:sz w:val="32"/>
          <w:szCs w:val="32"/>
        </w:rPr>
        <w:t>，主要原因是</w:t>
      </w:r>
      <w:r>
        <w:rPr>
          <w:rFonts w:hint="eastAsia" w:ascii="仿宋_GB2312" w:hAnsi="宋体" w:eastAsia="仿宋_GB2312" w:cs="Courier New"/>
          <w:sz w:val="32"/>
          <w:szCs w:val="32"/>
          <w:lang w:eastAsia="zh-CN"/>
        </w:rPr>
        <w:t>财政拨款收入</w:t>
      </w:r>
      <w:r>
        <w:rPr>
          <w:rFonts w:hint="eastAsia" w:ascii="仿宋_GB2312" w:hAnsi="宋体" w:eastAsia="仿宋_GB2312" w:cs="Courier New"/>
          <w:sz w:val="32"/>
          <w:szCs w:val="32"/>
        </w:rPr>
        <w:t>增加等。与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年相比，支出总计增加</w:t>
      </w:r>
      <w:r>
        <w:rPr>
          <w:rFonts w:ascii="仿宋_GB2312" w:hAnsi="宋体" w:eastAsia="仿宋_GB2312" w:cs="Courier New"/>
          <w:sz w:val="32"/>
          <w:szCs w:val="32"/>
        </w:rPr>
        <w:t>0.61</w:t>
      </w:r>
      <w:r>
        <w:rPr>
          <w:rFonts w:hint="eastAsia" w:ascii="仿宋_GB2312" w:hAnsi="宋体" w:eastAsia="仿宋_GB2312" w:cs="Courier New"/>
          <w:sz w:val="32"/>
          <w:szCs w:val="32"/>
        </w:rPr>
        <w:t>万元，增长</w:t>
      </w:r>
      <w:r>
        <w:rPr>
          <w:rFonts w:ascii="仿宋_GB2312" w:hAnsi="宋体" w:eastAsia="仿宋_GB2312" w:cs="Courier New"/>
          <w:sz w:val="32"/>
          <w:szCs w:val="32"/>
        </w:rPr>
        <w:t>2.3%</w:t>
      </w:r>
      <w:r>
        <w:rPr>
          <w:rFonts w:hint="eastAsia" w:ascii="仿宋_GB2312" w:hAnsi="宋体" w:eastAsia="仿宋_GB2312" w:cs="Courier New"/>
          <w:sz w:val="32"/>
          <w:szCs w:val="32"/>
        </w:rPr>
        <w:t>，主要原因是</w:t>
      </w:r>
      <w:r>
        <w:rPr>
          <w:rFonts w:hint="eastAsia" w:ascii="仿宋_GB2312" w:hAnsi="宋体" w:eastAsia="仿宋_GB2312" w:cs="Courier New"/>
          <w:sz w:val="32"/>
          <w:szCs w:val="32"/>
          <w:lang w:eastAsia="zh-CN"/>
        </w:rPr>
        <w:t>财政拨款收入</w:t>
      </w:r>
      <w:r>
        <w:rPr>
          <w:rFonts w:hint="eastAsia" w:ascii="仿宋_GB2312" w:hAnsi="宋体" w:eastAsia="仿宋_GB2312" w:cs="Courier New"/>
          <w:sz w:val="32"/>
          <w:szCs w:val="32"/>
        </w:rPr>
        <w:t>增加等。</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ascii="仿宋_GB2312" w:hAnsi="宋体" w:eastAsia="仿宋_GB2312" w:cs="Courier New"/>
          <w:sz w:val="32"/>
          <w:szCs w:val="32"/>
        </w:rPr>
        <w:t>26.41</w:t>
      </w:r>
      <w:r>
        <w:rPr>
          <w:rFonts w:hint="eastAsia" w:ascii="仿宋_GB2312" w:hAnsi="宋体" w:eastAsia="仿宋_GB2312" w:cs="Courier New"/>
          <w:sz w:val="32"/>
          <w:szCs w:val="32"/>
        </w:rPr>
        <w:t>万元，占支出合计的</w:t>
      </w:r>
      <w:r>
        <w:rPr>
          <w:rFonts w:ascii="仿宋_GB2312" w:hAnsi="宋体" w:eastAsia="仿宋_GB2312" w:cs="Courier New"/>
          <w:sz w:val="32"/>
          <w:szCs w:val="32"/>
        </w:rPr>
        <w:t>100%</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ascii="仿宋_GB2312" w:hAnsi="宋体" w:eastAsia="仿宋_GB2312" w:cs="Courier New"/>
          <w:sz w:val="32"/>
          <w:szCs w:val="32"/>
        </w:rPr>
        <w:t>0.61</w:t>
      </w:r>
      <w:r>
        <w:rPr>
          <w:rFonts w:hint="eastAsia" w:ascii="仿宋_GB2312" w:hAnsi="宋体" w:eastAsia="仿宋_GB2312" w:cs="Courier New"/>
          <w:sz w:val="32"/>
          <w:szCs w:val="32"/>
        </w:rPr>
        <w:t>万元，增长</w:t>
      </w:r>
      <w:r>
        <w:rPr>
          <w:rFonts w:ascii="仿宋_GB2312" w:hAnsi="宋体" w:eastAsia="仿宋_GB2312" w:cs="Courier New"/>
          <w:sz w:val="32"/>
          <w:szCs w:val="32"/>
        </w:rPr>
        <w:t>2.3%</w:t>
      </w:r>
      <w:r>
        <w:rPr>
          <w:rFonts w:hint="eastAsia" w:ascii="仿宋_GB2312" w:hAnsi="宋体" w:eastAsia="仿宋_GB2312" w:cs="Courier New"/>
          <w:sz w:val="32"/>
          <w:szCs w:val="32"/>
        </w:rPr>
        <w:t>，主要原因是</w:t>
      </w:r>
      <w:r>
        <w:rPr>
          <w:rFonts w:hint="eastAsia" w:ascii="仿宋_GB2312" w:hAnsi="宋体" w:eastAsia="仿宋_GB2312" w:cs="Courier New"/>
          <w:sz w:val="32"/>
          <w:szCs w:val="32"/>
          <w:lang w:eastAsia="zh-CN"/>
        </w:rPr>
        <w:t>财政拨款收入</w:t>
      </w:r>
      <w:r>
        <w:rPr>
          <w:rFonts w:hint="eastAsia" w:ascii="仿宋_GB2312" w:hAnsi="宋体" w:eastAsia="仿宋_GB2312" w:cs="Courier New"/>
          <w:sz w:val="32"/>
          <w:szCs w:val="32"/>
        </w:rPr>
        <w:t>增加等。</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ascii="仿宋_GB2312" w:hAnsi="宋体" w:eastAsia="仿宋_GB2312" w:cs="Courier New"/>
          <w:sz w:val="32"/>
          <w:szCs w:val="32"/>
        </w:rPr>
        <w:t>26.41</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ascii="仿宋_GB2312" w:hAnsi="宋体" w:eastAsia="仿宋_GB2312" w:cs="Courier New"/>
          <w:sz w:val="32"/>
          <w:szCs w:val="32"/>
        </w:rPr>
        <w:t>22.37</w:t>
      </w:r>
      <w:r>
        <w:rPr>
          <w:rFonts w:hint="eastAsia" w:ascii="仿宋_GB2312" w:hAnsi="宋体" w:eastAsia="仿宋_GB2312" w:cs="Courier New"/>
          <w:sz w:val="32"/>
          <w:szCs w:val="32"/>
        </w:rPr>
        <w:t>万元，占</w:t>
      </w:r>
      <w:r>
        <w:rPr>
          <w:rFonts w:ascii="仿宋_GB2312" w:hAnsi="宋体" w:eastAsia="仿宋_GB2312" w:cs="Courier New"/>
          <w:sz w:val="32"/>
          <w:szCs w:val="32"/>
        </w:rPr>
        <w:t>84.7%</w:t>
      </w:r>
      <w:r>
        <w:rPr>
          <w:rFonts w:hint="eastAsia" w:ascii="仿宋_GB2312" w:hAnsi="宋体" w:eastAsia="仿宋_GB2312" w:cs="Courier New"/>
          <w:sz w:val="32"/>
          <w:szCs w:val="32"/>
        </w:rPr>
        <w:t>；</w:t>
      </w:r>
      <w:r>
        <w:rPr>
          <w:rFonts w:hint="eastAsia" w:ascii="仿宋_GB2312" w:hAnsi="宋体" w:eastAsia="仿宋_GB2312" w:cs="Courier New"/>
          <w:b/>
          <w:bCs/>
          <w:sz w:val="32"/>
          <w:szCs w:val="32"/>
        </w:rPr>
        <w:t>社会保障和就业</w:t>
      </w:r>
      <w:r>
        <w:rPr>
          <w:rFonts w:hint="eastAsia" w:ascii="仿宋_GB2312" w:hAnsi="宋体" w:eastAsia="仿宋_GB2312" w:cs="Courier New"/>
          <w:sz w:val="32"/>
          <w:szCs w:val="32"/>
        </w:rPr>
        <w:t>支出</w:t>
      </w:r>
      <w:r>
        <w:rPr>
          <w:rFonts w:ascii="仿宋_GB2312" w:hAnsi="宋体" w:eastAsia="仿宋_GB2312" w:cs="Courier New"/>
          <w:sz w:val="32"/>
          <w:szCs w:val="32"/>
        </w:rPr>
        <w:t>4.04</w:t>
      </w:r>
      <w:r>
        <w:rPr>
          <w:rFonts w:hint="eastAsia" w:ascii="仿宋_GB2312" w:hAnsi="宋体" w:eastAsia="仿宋_GB2312" w:cs="Courier New"/>
          <w:sz w:val="32"/>
          <w:szCs w:val="32"/>
        </w:rPr>
        <w:t>万元，占</w:t>
      </w:r>
      <w:r>
        <w:rPr>
          <w:rFonts w:ascii="仿宋_GB2312" w:hAnsi="宋体" w:eastAsia="仿宋_GB2312" w:cs="Courier New"/>
          <w:sz w:val="32"/>
          <w:szCs w:val="32"/>
        </w:rPr>
        <w:t>15.3%</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ascii="仿宋_GB2312" w:hAnsi="宋体" w:eastAsia="仿宋_GB2312" w:cs="Courier New"/>
          <w:sz w:val="32"/>
          <w:szCs w:val="32"/>
        </w:rPr>
        <w:t>22.4</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26.41</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117.9%</w:t>
      </w:r>
      <w:r>
        <w:rPr>
          <w:rFonts w:hint="eastAsia" w:ascii="仿宋_GB2312" w:hAnsi="宋体" w:eastAsia="仿宋_GB2312" w:cs="Courier New"/>
          <w:sz w:val="32"/>
          <w:szCs w:val="32"/>
        </w:rPr>
        <w:t>。决算数大于预算数的主要原因：</w:t>
      </w:r>
      <w:r>
        <w:rPr>
          <w:rFonts w:hint="eastAsia" w:ascii="仿宋_GB2312" w:hAnsi="宋体" w:eastAsia="仿宋_GB2312" w:cs="Courier New"/>
          <w:sz w:val="32"/>
          <w:szCs w:val="32"/>
          <w:lang w:eastAsia="zh-CN"/>
        </w:rPr>
        <w:t>财政拨款</w:t>
      </w:r>
      <w:r>
        <w:rPr>
          <w:rFonts w:hint="eastAsia" w:ascii="仿宋_GB2312" w:hAnsi="宋体" w:eastAsia="仿宋_GB2312" w:cs="Courier New"/>
          <w:sz w:val="32"/>
          <w:szCs w:val="32"/>
        </w:rPr>
        <w:t>收入增加。</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ascii="仿宋_GB2312" w:hAnsi="宋体" w:eastAsia="仿宋_GB2312" w:cs="Courier New"/>
          <w:sz w:val="32"/>
          <w:szCs w:val="32"/>
        </w:rPr>
        <w:t>26.41</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ascii="仿宋_GB2312" w:hAnsi="Times New Roman" w:eastAsia="仿宋_GB2312" w:cs="仿宋_GB2312"/>
          <w:bCs/>
          <w:spacing w:val="-1"/>
          <w:kern w:val="0"/>
          <w:sz w:val="32"/>
          <w:szCs w:val="32"/>
        </w:rPr>
        <w:t>17.54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主要包括：基本工资、津贴补贴、奖金、其他社会保障缴费；</w:t>
      </w:r>
      <w:r>
        <w:rPr>
          <w:rFonts w:hint="eastAsia" w:ascii="仿宋_GB2312" w:hAnsi="Times New Roman" w:eastAsia="仿宋_GB2312" w:cs="仿宋_GB2312"/>
          <w:b/>
          <w:spacing w:val="-1"/>
          <w:kern w:val="0"/>
          <w:sz w:val="32"/>
          <w:szCs w:val="32"/>
        </w:rPr>
        <w:t>公用经费</w:t>
      </w:r>
      <w:r>
        <w:rPr>
          <w:rFonts w:ascii="仿宋_GB2312" w:hAnsi="Times New Roman" w:eastAsia="仿宋_GB2312" w:cs="仿宋_GB2312"/>
          <w:spacing w:val="-2"/>
          <w:kern w:val="0"/>
          <w:sz w:val="32"/>
          <w:szCs w:val="32"/>
        </w:rPr>
        <w:t>8.87</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，主要包括：办公费、印刷费、邮电费、差旅费、会议费培训费、公务接待费、劳务费。</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0.98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0.98</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万元；公务接待费支出决算为</w:t>
      </w:r>
      <w:r>
        <w:rPr>
          <w:rFonts w:ascii="仿宋_GB2312" w:hAnsi="宋体" w:eastAsia="仿宋_GB2312" w:cs="Courier New"/>
          <w:sz w:val="32"/>
          <w:szCs w:val="32"/>
        </w:rPr>
        <w:t>0.98</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年减少</w:t>
      </w:r>
      <w:r>
        <w:rPr>
          <w:rFonts w:ascii="仿宋_GB2312" w:hAnsi="宋体" w:eastAsia="仿宋_GB2312" w:cs="Courier New"/>
          <w:sz w:val="32"/>
          <w:szCs w:val="32"/>
        </w:rPr>
        <w:t>0.02</w:t>
      </w:r>
      <w:r>
        <w:rPr>
          <w:rFonts w:hint="eastAsia" w:ascii="仿宋_GB2312" w:hAnsi="宋体" w:eastAsia="仿宋_GB2312" w:cs="Courier New"/>
          <w:sz w:val="32"/>
          <w:szCs w:val="32"/>
        </w:rPr>
        <w:t>万元，下降</w:t>
      </w:r>
      <w:r>
        <w:rPr>
          <w:rFonts w:ascii="仿宋_GB2312" w:hAnsi="宋体" w:eastAsia="仿宋_GB2312" w:cs="Courier New"/>
          <w:sz w:val="32"/>
          <w:szCs w:val="32"/>
        </w:rPr>
        <w:t>2%</w:t>
      </w:r>
      <w:r>
        <w:rPr>
          <w:rFonts w:hint="eastAsia" w:ascii="仿宋_GB2312" w:hAnsi="宋体" w:eastAsia="仿宋_GB2312" w:cs="Courier New"/>
          <w:sz w:val="32"/>
          <w:szCs w:val="32"/>
        </w:rPr>
        <w:t>，其中：因公出国（境）费支出、公务用车购置及运行费为</w:t>
      </w:r>
      <w:r>
        <w:rPr>
          <w:rFonts w:ascii="仿宋_GB2312" w:hAnsi="宋体" w:eastAsia="仿宋_GB2312" w:cs="Courier New"/>
          <w:sz w:val="32"/>
          <w:szCs w:val="32"/>
        </w:rPr>
        <w:t>0</w:t>
      </w:r>
      <w:r>
        <w:rPr>
          <w:rFonts w:hint="eastAsia" w:ascii="仿宋_GB2312" w:hAnsi="宋体" w:eastAsia="仿宋_GB2312" w:cs="Courier New"/>
          <w:sz w:val="32"/>
          <w:szCs w:val="32"/>
        </w:rPr>
        <w:t>；公务接待费支出决算减少</w:t>
      </w:r>
      <w:r>
        <w:rPr>
          <w:rFonts w:ascii="仿宋_GB2312" w:hAnsi="宋体" w:eastAsia="仿宋_GB2312" w:cs="Courier New"/>
          <w:sz w:val="32"/>
          <w:szCs w:val="32"/>
        </w:rPr>
        <w:t>0.02</w:t>
      </w:r>
      <w:r>
        <w:rPr>
          <w:rFonts w:hint="eastAsia" w:ascii="仿宋_GB2312" w:hAnsi="宋体" w:eastAsia="仿宋_GB2312" w:cs="Courier New"/>
          <w:sz w:val="32"/>
          <w:szCs w:val="32"/>
        </w:rPr>
        <w:t>万元，下降</w:t>
      </w:r>
      <w:r>
        <w:rPr>
          <w:rFonts w:ascii="仿宋_GB2312" w:hAnsi="宋体" w:eastAsia="仿宋_GB2312" w:cs="Courier New"/>
          <w:sz w:val="32"/>
          <w:szCs w:val="32"/>
        </w:rPr>
        <w:t>2%</w:t>
      </w:r>
      <w:r>
        <w:rPr>
          <w:rFonts w:hint="eastAsia" w:ascii="仿宋_GB2312" w:hAnsi="宋体" w:eastAsia="仿宋_GB2312" w:cs="Courier New"/>
          <w:sz w:val="32"/>
          <w:szCs w:val="32"/>
        </w:rPr>
        <w:t>。公务接待费支出增加（减少）的主要原因是严格落实中央八项规定及财经纪律，严格控制支出</w:t>
      </w:r>
      <w:r>
        <w:rPr>
          <w:rFonts w:hint="eastAsia" w:ascii="仿宋_GB2312" w:hAnsi="宋体" w:eastAsia="仿宋_GB2312" w:cs="Courier New"/>
          <w:sz w:val="32"/>
          <w:szCs w:val="32"/>
          <w:lang w:eastAsia="zh-CN"/>
        </w:rPr>
        <w:t>等</w:t>
      </w:r>
      <w:r>
        <w:rPr>
          <w:rFonts w:hint="eastAsia" w:ascii="仿宋_GB2312" w:hAnsi="宋体" w:eastAsia="仿宋_GB2312" w:cs="Courier New"/>
          <w:sz w:val="32"/>
          <w:szCs w:val="32"/>
        </w:rPr>
        <w:t>。</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；公务用车购置及运行费支出决算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万元；公务接待费支出决算</w:t>
      </w:r>
      <w:r>
        <w:rPr>
          <w:rFonts w:ascii="仿宋_GB2312" w:hAnsi="宋体" w:eastAsia="仿宋_GB2312" w:cs="Courier New"/>
          <w:sz w:val="32"/>
          <w:szCs w:val="32"/>
        </w:rPr>
        <w:t>0.98</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ascii="仿宋_GB2312" w:hAnsi="宋体" w:eastAsia="仿宋_GB2312"/>
          <w:b/>
          <w:bCs/>
          <w:sz w:val="32"/>
          <w:szCs w:val="32"/>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ascii="仿宋_GB2312" w:hAnsi="宋体" w:eastAsia="仿宋_GB2312"/>
          <w:b/>
          <w:bCs/>
          <w:sz w:val="32"/>
          <w:szCs w:val="32"/>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30" w:firstLineChars="196"/>
        <w:rPr>
          <w:rFonts w:ascii="仿宋_GB2312" w:hAnsi="宋体" w:eastAsia="仿宋_GB2312" w:cs="Courier New"/>
          <w:b/>
          <w:bCs/>
          <w:sz w:val="32"/>
          <w:szCs w:val="32"/>
        </w:rPr>
      </w:pPr>
      <w:r>
        <w:rPr>
          <w:rFonts w:ascii="仿宋_GB2312" w:hAnsi="宋体" w:eastAsia="仿宋_GB2312"/>
          <w:b/>
          <w:bCs/>
          <w:sz w:val="32"/>
          <w:szCs w:val="32"/>
        </w:rPr>
        <w:t>3</w:t>
      </w:r>
      <w:r>
        <w:rPr>
          <w:rFonts w:hint="eastAsia" w:ascii="仿宋_GB2312" w:hAnsi="宋体" w:eastAsia="仿宋_GB2312"/>
          <w:b/>
          <w:bCs/>
          <w:sz w:val="32"/>
          <w:szCs w:val="32"/>
        </w:rPr>
        <w:t>、公务接待费支出</w:t>
      </w:r>
      <w:r>
        <w:rPr>
          <w:rFonts w:ascii="仿宋_GB2312" w:hAnsi="宋体" w:eastAsia="仿宋_GB2312"/>
          <w:b/>
          <w:bCs/>
          <w:sz w:val="32"/>
          <w:szCs w:val="32"/>
        </w:rPr>
        <w:t>0.98</w:t>
      </w:r>
      <w:r>
        <w:rPr>
          <w:rFonts w:hint="eastAsia" w:ascii="仿宋_GB2312" w:hAnsi="宋体" w:eastAsia="仿宋_GB2312"/>
          <w:b/>
          <w:bCs/>
          <w:sz w:val="32"/>
          <w:szCs w:val="32"/>
        </w:rPr>
        <w:t>万元。</w:t>
      </w:r>
      <w:r>
        <w:rPr>
          <w:rFonts w:hint="eastAsia" w:ascii="仿宋_GB2312" w:hAnsi="宋体" w:eastAsia="仿宋_GB2312" w:cs="Courier New"/>
          <w:sz w:val="32"/>
          <w:szCs w:val="32"/>
        </w:rPr>
        <w:t>主要用于平时工作来访、日常接待。</w:t>
      </w:r>
      <w:r>
        <w:rPr>
          <w:rFonts w:ascii="仿宋_GB2312" w:hAnsi="宋体" w:eastAsia="仿宋_GB2312" w:cs="Courier New"/>
          <w:sz w:val="32"/>
          <w:szCs w:val="32"/>
        </w:rPr>
        <w:t>2016</w:t>
      </w:r>
      <w:r>
        <w:rPr>
          <w:rFonts w:hint="eastAsia" w:ascii="仿宋_GB2312" w:hAnsi="宋体" w:eastAsia="仿宋_GB2312" w:cs="Courier New"/>
          <w:sz w:val="32"/>
          <w:szCs w:val="32"/>
        </w:rPr>
        <w:t>年度共接待国内来访团组</w:t>
      </w:r>
      <w:r>
        <w:rPr>
          <w:rFonts w:ascii="仿宋_GB2312" w:hAnsi="宋体" w:eastAsia="仿宋_GB2312" w:cs="Courier New"/>
          <w:sz w:val="32"/>
          <w:szCs w:val="32"/>
        </w:rPr>
        <w:t>8</w:t>
      </w:r>
      <w:r>
        <w:rPr>
          <w:rFonts w:hint="eastAsia" w:ascii="仿宋_GB2312" w:hAnsi="宋体" w:eastAsia="仿宋_GB2312" w:cs="Courier New"/>
          <w:sz w:val="32"/>
          <w:szCs w:val="32"/>
        </w:rPr>
        <w:t>个、来访人员</w:t>
      </w:r>
      <w:r>
        <w:rPr>
          <w:rFonts w:ascii="仿宋_GB2312" w:hAnsi="宋体" w:eastAsia="仿宋_GB2312" w:cs="Courier New"/>
          <w:sz w:val="32"/>
          <w:szCs w:val="32"/>
        </w:rPr>
        <w:t>54</w:t>
      </w:r>
      <w:r>
        <w:rPr>
          <w:rFonts w:hint="eastAsia" w:ascii="仿宋_GB2312" w:hAnsi="宋体" w:eastAsia="仿宋_GB2312" w:cs="Courier New"/>
          <w:sz w:val="32"/>
          <w:szCs w:val="32"/>
        </w:rPr>
        <w:t>人次（不包括陪同人员）。</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adjustRightInd w:val="0"/>
        <w:snapToGrid w:val="0"/>
        <w:spacing w:line="360" w:lineRule="auto"/>
        <w:outlineLvl w:val="1"/>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无</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无</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无</w:t>
      </w:r>
    </w:p>
    <w:p>
      <w:pPr>
        <w:numPr>
          <w:ilvl w:val="0"/>
          <w:numId w:val="5"/>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无</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无</w:t>
      </w:r>
    </w:p>
    <w:p>
      <w:pPr>
        <w:kinsoku w:val="0"/>
        <w:overflowPunct w:val="0"/>
        <w:autoSpaceDE w:val="0"/>
        <w:autoSpaceDN w:val="0"/>
        <w:adjustRightInd w:val="0"/>
        <w:snapToGrid w:val="0"/>
        <w:spacing w:line="360" w:lineRule="auto"/>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val="en-US"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highlight w:val="none"/>
          <w:lang w:val="en-US" w:eastAsia="zh-CN"/>
        </w:rPr>
        <w:t>四</w:t>
      </w:r>
      <w:r>
        <w:rPr>
          <w:rFonts w:hint="eastAsia" w:ascii="仿宋_GB2312" w:hAnsi="宋体" w:eastAsia="仿宋_GB2312" w:cs="Courier New"/>
          <w:b/>
          <w:bCs/>
          <w:sz w:val="32"/>
          <w:szCs w:val="32"/>
          <w:highlight w:val="none"/>
        </w:rPr>
        <w:t>、年末结转和结余：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六</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 xml:space="preserve">    </w:t>
      </w:r>
      <w:r>
        <w:rPr>
          <w:rFonts w:hint="eastAsia" w:ascii="仿宋_GB2312" w:hAnsi="宋体" w:eastAsia="仿宋_GB2312" w:cs="Courier New"/>
          <w:b/>
          <w:bCs/>
          <w:sz w:val="32"/>
          <w:szCs w:val="32"/>
          <w:lang w:eastAsia="zh-CN"/>
        </w:rPr>
        <w:t>七</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八</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bookmarkStart w:id="0" w:name="_GoBack"/>
      <w:bookmarkEnd w:id="0"/>
    </w:p>
    <w:sectPr>
      <w:pgSz w:w="11906" w:h="16838"/>
      <w:pgMar w:top="1440" w:right="1531" w:bottom="1440" w:left="1587" w:header="850" w:footer="992" w:gutter="0"/>
      <w:pgNumType w:fmt="numberInDash"/>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隶书">
    <w:altName w:val="宋体"/>
    <w:panose1 w:val="0201050906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Aharoni">
    <w:panose1 w:val="02010803020104030203"/>
    <w:charset w:val="00"/>
    <w:family w:val="auto"/>
    <w:pitch w:val="default"/>
    <w:sig w:usb0="00000803" w:usb1="00000000" w:usb2="00000000" w:usb3="00000000" w:csb0="00000021" w:csb1="00200000"/>
  </w:font>
  <w:font w:name="Calibri Light">
    <w:panose1 w:val="020F0302020204030204"/>
    <w:charset w:val="00"/>
    <w:family w:val="auto"/>
    <w:pitch w:val="default"/>
    <w:sig w:usb0="A00002EF" w:usb1="4000207B" w:usb2="00000000" w:usb3="00000000" w:csb0="2000019F" w:csb1="0000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Segoe Print"/>
    <w:panose1 w:val="02010609000101010101"/>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40001" w:csb1="00000000"/>
  </w:font>
  <w:font w:name="文星简行草">
    <w:altName w:val="Segoe Print"/>
    <w:panose1 w:val="02010609000101010101"/>
    <w:charset w:val="00"/>
    <w:family w:val="auto"/>
    <w:pitch w:val="default"/>
    <w:sig w:usb0="00000000" w:usb1="00000000" w:usb2="00000000" w:usb3="00000000" w:csb0="00040001"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文星简隶书">
    <w:altName w:val="宋体"/>
    <w:panose1 w:val="02010609000101010101"/>
    <w:charset w:val="00"/>
    <w:family w:val="auto"/>
    <w:pitch w:val="default"/>
    <w:sig w:usb0="00000000" w:usb1="00000000" w:usb2="00000000" w:usb3="00000000" w:csb0="00040001" w:csb1="00000000"/>
  </w:font>
  <w:font w:name="文星简魏体">
    <w:altName w:val="Segoe Print"/>
    <w:panose1 w:val="02010609000101010101"/>
    <w:charset w:val="00"/>
    <w:family w:val="auto"/>
    <w:pitch w:val="default"/>
    <w:sig w:usb0="00000000" w:usb1="00000000" w:usb2="00000000" w:usb3="00000000" w:csb0="00040001" w:csb1="00000000"/>
  </w:font>
  <w:font w:name="文星简黑变">
    <w:altName w:val="黑体"/>
    <w:panose1 w:val="02010609000101010101"/>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altName w:val="Gabriola"/>
    <w:panose1 w:val="04020705040A02060702"/>
    <w:charset w:val="00"/>
    <w:family w:val="auto"/>
    <w:pitch w:val="default"/>
    <w:sig w:usb0="00000000" w:usb1="00000000" w:usb2="00000000" w:usb3="00000000" w:csb0="20000001" w:csb1="00000000"/>
  </w:font>
  <w:font w:name="Agency FB">
    <w:altName w:val="Malgun Gothic"/>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Outlook">
    <w:altName w:val="Symbol"/>
    <w:panose1 w:val="05010100010000000000"/>
    <w:charset w:val="02"/>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0" w:usb1="00000000" w:usb2="00000000" w:usb3="00000000" w:csb0="20000001" w:csb1="00000000"/>
  </w:font>
  <w:font w:name="Miriam">
    <w:panose1 w:val="020B0502050101010101"/>
    <w:charset w:val="00"/>
    <w:family w:val="auto"/>
    <w:pitch w:val="default"/>
    <w:sig w:usb0="00000803" w:usb1="00000000" w:usb2="00000000" w:usb3="00000000" w:csb0="00000021" w:csb1="00200000"/>
  </w:font>
  <w:font w:name="Microsoft Uighur">
    <w:panose1 w:val="02000000000000000000"/>
    <w:charset w:val="00"/>
    <w:family w:val="auto"/>
    <w:pitch w:val="default"/>
    <w:sig w:usb0="80002023" w:usb1="80000002"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40001" w:csb1="00000000"/>
  </w:font>
  <w:font w:name="文星简中圆">
    <w:altName w:val="Segoe Print"/>
    <w:panose1 w:val="02010609000101010101"/>
    <w:charset w:val="00"/>
    <w:family w:val="auto"/>
    <w:pitch w:val="default"/>
    <w:sig w:usb0="00000000" w:usb1="00000000" w:usb2="00000000" w:usb3="00000000" w:csb0="00040001"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Segoe Print"/>
    <w:panose1 w:val="02010609000101010101"/>
    <w:charset w:val="00"/>
    <w:family w:val="auto"/>
    <w:pitch w:val="default"/>
    <w:sig w:usb0="00000000" w:usb1="00000000" w:usb2="00000000" w:usb3="00000000" w:csb0="00040001"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舒同">
    <w:altName w:val="Segoe Print"/>
    <w:panose1 w:val="02010609000101010101"/>
    <w:charset w:val="00"/>
    <w:family w:val="auto"/>
    <w:pitch w:val="default"/>
    <w:sig w:usb0="00000000" w:usb1="00000000" w:usb2="00000000" w:usb3="00000000" w:csb0="00040001" w:csb1="00000000"/>
  </w:font>
  <w:font w:name="文星简粗黑">
    <w:altName w:val="黑体"/>
    <w:panose1 w:val="02010609000101010101"/>
    <w:charset w:val="00"/>
    <w:family w:val="auto"/>
    <w:pitch w:val="default"/>
    <w:sig w:usb0="00000000" w:usb1="00000000" w:usb2="00000000" w:usb3="00000000" w:csb0="00040001" w:csb1="00000000"/>
  </w:font>
  <w:font w:name="文星简彩云">
    <w:altName w:val="Segoe Print"/>
    <w:panose1 w:val="02010609000101010101"/>
    <w:charset w:val="00"/>
    <w:family w:val="auto"/>
    <w:pitch w:val="default"/>
    <w:sig w:usb0="00000000" w:usb1="00000000" w:usb2="00000000" w:usb3="00000000" w:csb0="00040001" w:csb1="00000000"/>
  </w:font>
  <w:font w:name="文星简大标宋">
    <w:altName w:val="微软雅黑"/>
    <w:panose1 w:val="02010609000101010101"/>
    <w:charset w:val="00"/>
    <w:family w:val="auto"/>
    <w:pitch w:val="default"/>
    <w:sig w:usb0="00000000" w:usb1="00000000" w:usb2="00000000" w:usb3="00000000" w:csb0="00040001" w:csb1="00000000"/>
  </w:font>
  <w:font w:name="文星简行楷">
    <w:altName w:val="宋体"/>
    <w:panose1 w:val="02010609000101010101"/>
    <w:charset w:val="00"/>
    <w:family w:val="auto"/>
    <w:pitch w:val="default"/>
    <w:sig w:usb0="00000000" w:usb1="00000000" w:usb2="00000000" w:usb3="00000000" w:csb0="00040001" w:csb1="00000000"/>
  </w:font>
  <w:font w:name="文星简综艺">
    <w:altName w:val="Segoe Print"/>
    <w:panose1 w:val="02010609000101010101"/>
    <w:charset w:val="00"/>
    <w:family w:val="auto"/>
    <w:pitch w:val="default"/>
    <w:sig w:usb0="00000000" w:usb1="00000000" w:usb2="00000000" w:usb3="00000000" w:csb0="00040001" w:csb1="00000000"/>
  </w:font>
  <w:font w:name="文星简美黑">
    <w:altName w:val="黑体"/>
    <w:panose1 w:val="02010609000101010101"/>
    <w:charset w:val="00"/>
    <w:family w:val="auto"/>
    <w:pitch w:val="default"/>
    <w:sig w:usb0="00000000" w:usb1="00000000" w:usb2="00000000" w:usb3="00000000" w:csb0="00040001" w:csb1="00000000"/>
  </w:font>
  <w:font w:name="文星简胖头鱼">
    <w:altName w:val="Segoe Print"/>
    <w:panose1 w:val="02010609000101010101"/>
    <w:charset w:val="00"/>
    <w:family w:val="auto"/>
    <w:pitch w:val="default"/>
    <w:sig w:usb0="00000000" w:usb1="00000000" w:usb2="00000000" w:usb3="00000000" w:csb0="00040001" w:csb1="00000000"/>
  </w:font>
  <w:font w:name="文星简楷宋">
    <w:altName w:val="宋体"/>
    <w:panose1 w:val="02010609000101010101"/>
    <w:charset w:val="00"/>
    <w:family w:val="auto"/>
    <w:pitch w:val="default"/>
    <w:sig w:usb0="00000000" w:usb1="00000000" w:usb2="00000000" w:usb3="00000000" w:csb0="00040001"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方正姚体繁体">
    <w:panose1 w:val="03000509000000000000"/>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Trebuchet MS">
    <w:panose1 w:val="020B0603020202020204"/>
    <w:charset w:val="00"/>
    <w:family w:val="auto"/>
    <w:pitch w:val="default"/>
    <w:sig w:usb0="00000287" w:usb1="00000003" w:usb2="00000000" w:usb3="00000000" w:csb0="2000009F" w:csb1="00000000"/>
  </w:font>
  <w:font w:name="Microsoft JhengHei Light">
    <w:panose1 w:val="020B0304030504040204"/>
    <w:charset w:val="88"/>
    <w:family w:val="auto"/>
    <w:pitch w:val="default"/>
    <w:sig w:usb0="800002EF" w:usb1="28CFFCFB" w:usb2="00000016" w:usb3="00000000" w:csb0="203E01BF" w:csb1="00000000"/>
  </w:font>
  <w:font w:name="Yu Gothic UI">
    <w:altName w:val="Yu Gothic"/>
    <w:panose1 w:val="020B0500000000000000"/>
    <w:charset w:val="80"/>
    <w:family w:val="auto"/>
    <w:pitch w:val="default"/>
    <w:sig w:usb0="E00002FF" w:usb1="2AC7FDFF" w:usb2="00000016" w:usb3="00000000" w:csb0="2002009F" w:csb1="00000000"/>
  </w:font>
  <w:font w:name="Yu Gothic UI Semibold">
    <w:altName w:val="Yu Gothic"/>
    <w:panose1 w:val="020B0700000000000000"/>
    <w:charset w:val="80"/>
    <w:family w:val="auto"/>
    <w:pitch w:val="default"/>
    <w:sig w:usb0="E00002FF" w:usb1="2AC7FDFF" w:usb2="00000016" w:usb3="00000000" w:csb0="2002009F" w:csb1="00000000"/>
  </w:font>
  <w:font w:name="Century Gothic">
    <w:altName w:val="Arial"/>
    <w:panose1 w:val="020B0502020202020204"/>
    <w:charset w:val="00"/>
    <w:family w:val="auto"/>
    <w:pitch w:val="default"/>
    <w:sig w:usb0="00000000" w:usb1="00000000" w:usb2="00000000" w:usb3="00000000" w:csb0="2000009F" w:csb1="DFD70000"/>
  </w:font>
  <w:font w:name="ˎ̥">
    <w:altName w:val="Times New Roman"/>
    <w:panose1 w:val="00000000000000000000"/>
    <w:charset w:val="01"/>
    <w:family w:val="auto"/>
    <w:pitch w:val="default"/>
    <w:sig w:usb0="00000000" w:usb1="0000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Latha">
    <w:panose1 w:val="020B0604020202020204"/>
    <w:charset w:val="00"/>
    <w:family w:val="auto"/>
    <w:pitch w:val="default"/>
    <w:sig w:usb0="00100003" w:usb1="00000000" w:usb2="00000000" w:usb3="00000000" w:csb0="00000001" w:csb1="00000000"/>
  </w:font>
  <w:font w:name="经典繁颜体">
    <w:altName w:val="黑体"/>
    <w:panose1 w:val="02010609000101010101"/>
    <w:charset w:val="01"/>
    <w:family w:val="auto"/>
    <w:pitch w:val="default"/>
    <w:sig w:usb0="00000000" w:usb1="00000000" w:usb2="0000001E" w:usb3="00000000" w:csb0="20040000" w:csb1="00000000"/>
  </w:font>
  <w:font w:name="Arial Black">
    <w:panose1 w:val="020B0A04020102020204"/>
    <w:charset w:val="00"/>
    <w:family w:val="auto"/>
    <w:pitch w:val="default"/>
    <w:sig w:usb0="A00002AF" w:usb1="400078FB" w:usb2="00000000" w:usb3="00000000" w:csb0="6000009F" w:csb1="DFD70000"/>
  </w:font>
  <w:font w:name="方正仿宋简体">
    <w:panose1 w:val="02010601030101010101"/>
    <w:charset w:val="86"/>
    <w:family w:val="auto"/>
    <w:pitch w:val="default"/>
    <w:sig w:usb0="00000001" w:usb1="080E0000" w:usb2="00000000" w:usb3="00000000" w:csb0="00040000" w:csb1="00000000"/>
  </w:font>
  <w:font w:name="12px">
    <w:altName w:val="微软雅黑"/>
    <w:panose1 w:val="00000000000000000000"/>
    <w:charset w:val="01"/>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MT Extra">
    <w:panose1 w:val="05050102010205020202"/>
    <w:charset w:val="02"/>
    <w:family w:val="auto"/>
    <w:pitch w:val="default"/>
    <w:sig w:usb0="8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Ђˎ̥">
    <w:altName w:val="微软雅黑"/>
    <w:panose1 w:val="00000000000000000000"/>
    <w:charset w:val="00"/>
    <w:family w:val="auto"/>
    <w:pitch w:val="default"/>
    <w:sig w:usb0="00000000" w:usb1="00000000" w:usb2="00000000" w:usb3="00000000" w:csb0="00040001" w:csb1="00000000"/>
  </w:font>
  <w:font w:name="SimSun Western">
    <w:altName w:val="宋体"/>
    <w:panose1 w:val="00000000000000000000"/>
    <w:charset w:val="00"/>
    <w:family w:val="auto"/>
    <w:pitch w:val="default"/>
    <w:sig w:usb0="00000000" w:usb1="00000000" w:usb2="00000000" w:usb3="00000000" w:csb0="00000001"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Verdana">
    <w:panose1 w:val="020B0604030504040204"/>
    <w:charset w:val="00"/>
    <w:family w:val="auto"/>
    <w:pitch w:val="default"/>
    <w:sig w:usb0="A10006FF" w:usb1="4000205B" w:usb2="00000010" w:usb3="00000000" w:csb0="2000019F"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Baltic">
    <w:altName w:val="Times New Roman"/>
    <w:panose1 w:val="00000000000000000000"/>
    <w:charset w:val="BA"/>
    <w:family w:val="auto"/>
    <w:pitch w:val="default"/>
    <w:sig w:usb0="00000000" w:usb1="00000000" w:usb2="00000000" w:usb3="00000000" w:csb0="00000080" w:csb1="00000000"/>
  </w:font>
  <w:font w:name="瀹嬩綋">
    <w:altName w:val="微软雅黑"/>
    <w:panose1 w:val="00000000000000000000"/>
    <w:charset w:val="01"/>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文星标宋">
    <w:altName w:val="宋体"/>
    <w:panose1 w:val="02010604000101010101"/>
    <w:charset w:val="86"/>
    <w:family w:val="auto"/>
    <w:pitch w:val="default"/>
    <w:sig w:usb0="00000000" w:usb1="00000000" w:usb2="00000000" w:usb3="00000000" w:csb0="00040001" w:csb1="00000000"/>
  </w:font>
  <w:font w:name="_x000B_">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lucida Grande">
    <w:altName w:val="宋体"/>
    <w:panose1 w:val="00000000000000000000"/>
    <w:charset w:val="01"/>
    <w:family w:val="auto"/>
    <w:pitch w:val="default"/>
    <w:sig w:usb0="00000000" w:usb1="00000000" w:usb2="00000000" w:usb3="00000000" w:csb0="00040001" w:csb1="00000000"/>
  </w:font>
  <w:font w:name="文星楷体">
    <w:altName w:val="宋体"/>
    <w:panose1 w:val="02010604000101010101"/>
    <w:charset w:val="86"/>
    <w:family w:val="auto"/>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00040001" w:csb1="00000000"/>
  </w:font>
  <w:font w:name="文星黑体">
    <w:altName w:val="宋体"/>
    <w:panose1 w:val="02010604000101010101"/>
    <w:charset w:val="86"/>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方正黑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宋体_GB2312">
    <w:altName w:val="宋体"/>
    <w:panose1 w:val="00000000000000000000"/>
    <w:charset w:val="86"/>
    <w:family w:val="auto"/>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verdana,Arial">
    <w:altName w:val="宋体"/>
    <w:panose1 w:val="00000000000000000000"/>
    <w:charset w:val="86"/>
    <w:family w:val="auto"/>
    <w:pitch w:val="default"/>
    <w:sig w:usb0="00000000" w:usb1="00000000" w:usb2="00000000" w:usb3="00000000" w:csb0="00040000" w:csb1="00000000"/>
  </w:font>
  <w:font w:name="Courier New CYR">
    <w:altName w:val="Courier New"/>
    <w:panose1 w:val="00000000000000000000"/>
    <w:charset w:val="CC"/>
    <w:family w:val="auto"/>
    <w:pitch w:val="default"/>
    <w:sig w:usb0="00000000" w:usb1="00000000" w:usb2="00000000" w:usb3="00000000" w:csb0="00000004" w:csb1="00000000"/>
  </w:font>
  <w:font w:name="Verdana,Tahoma,&quot;宋体&quot;">
    <w:altName w:val="宋体"/>
    <w:panose1 w:val="00000000000000000000"/>
    <w:charset w:val="86"/>
    <w:family w:val="auto"/>
    <w:pitch w:val="default"/>
    <w:sig w:usb0="00000000" w:usb1="00000000" w:usb2="00000000" w:usb3="00000000" w:csb0="00040000" w:csb1="00000000"/>
  </w:font>
  <w:font w:name="2b72a0">
    <w:altName w:val="Times New Roman"/>
    <w:panose1 w:val="00000000000000000000"/>
    <w:charset w:val="00"/>
    <w:family w:val="auto"/>
    <w:pitch w:val="default"/>
    <w:sig w:usb0="00000000" w:usb1="00000000" w:usb2="00000000" w:usb3="00000000" w:csb0="00040001" w:csb1="00000000"/>
  </w:font>
  <w:font w:name="Verdana, Arial, Helvetica, sa">
    <w:altName w:val="宋体"/>
    <w:panose1 w:val="00000000000000000000"/>
    <w:charset w:val="86"/>
    <w:family w:val="auto"/>
    <w:pitch w:val="default"/>
    <w:sig w:usb0="00000000" w:usb1="00000000" w:usb2="00000000" w:usb3="00000000" w:csb0="00040000" w:csb1="00000000"/>
  </w:font>
  <w:font w:name="楷体_GBK">
    <w:altName w:val="宋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Phonetic Plain">
    <w:altName w:val="微软雅黑"/>
    <w:panose1 w:val="00000000000000000000"/>
    <w:charset w:val="00"/>
    <w:family w:val="auto"/>
    <w:pitch w:val="default"/>
    <w:sig w:usb0="00000000" w:usb1="00000000" w:usb2="00000000" w:usb3="00000000" w:csb0="00040001" w:csb1="00000000"/>
  </w:font>
  <w:font w:name="金长城仿宋体">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10" w:usb3="00000000" w:csb0="00040000" w:csb1="00000000"/>
  </w:font>
  <w:font w:name="Arial Narrow">
    <w:altName w:val="Arial"/>
    <w:panose1 w:val="020B05060202020302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方正楷体_GBK">
    <w:altName w:val="宋体"/>
    <w:panose1 w:val="03000509000000000000"/>
    <w:charset w:val="86"/>
    <w:family w:val="auto"/>
    <w:pitch w:val="default"/>
    <w:sig w:usb0="00000000" w:usb1="00000000" w:usb2="00000000" w:usb3="00000000" w:csb0="00040000" w:csb1="00000000"/>
  </w:font>
  <w:font w:name="\5b8b\4f53">
    <w:altName w:val="微软雅黑"/>
    <w:panose1 w:val="00000000000000000000"/>
    <w:charset w:val="01"/>
    <w:family w:val="auto"/>
    <w:pitch w:val="default"/>
    <w:sig w:usb0="00000000" w:usb1="00000000" w:usb2="00000000" w:usb3="00000000" w:csb0="00040001" w:csb1="00000000"/>
  </w:font>
  <w:font w:name="经典美黑简">
    <w:altName w:val="黑体"/>
    <w:panose1 w:val="02010609000101010101"/>
    <w:charset w:val="86"/>
    <w:family w:val="auto"/>
    <w:pitch w:val="default"/>
    <w:sig w:usb0="00000000" w:usb1="00000000" w:usb2="0000001E" w:usb3="00000000" w:csb0="20040000" w:csb1="00000000"/>
  </w:font>
  <w:font w:name="方正楷体简体">
    <w:panose1 w:val="02010601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ÂËÎ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Arial (Arabic)">
    <w:altName w:val="Arial"/>
    <w:panose1 w:val="00000000000000000000"/>
    <w:charset w:val="B2"/>
    <w:family w:val="auto"/>
    <w:pitch w:val="default"/>
    <w:sig w:usb0="00000000" w:usb1="00000000" w:usb2="00000000" w:usb3="00000000" w:csb0="00000040"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新宋体-1803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Yahei">
    <w:altName w:val="微软雅黑"/>
    <w:panose1 w:val="00000000000000000000"/>
    <w:charset w:val="01"/>
    <w:family w:val="auto"/>
    <w:pitch w:val="default"/>
    <w:sig w:usb0="00000000" w:usb1="00000000" w:usb2="00000000" w:usb3="00000000" w:csb0="00040001" w:csb1="00000000"/>
  </w:font>
  <w:font w:name="Adobe 仿宋 Std R">
    <w:altName w:val="宋体"/>
    <w:panose1 w:val="00000000000000000000"/>
    <w:charset w:val="86"/>
    <w:family w:val="auto"/>
    <w:pitch w:val="default"/>
    <w:sig w:usb0="00000000" w:usb1="00000000" w:usb2="00000010" w:usb3="00000000" w:csb0="00060007" w:csb1="00000000"/>
  </w:font>
  <w:font w:name="ALKATIP Basma Tom">
    <w:altName w:val="Times New Roman"/>
    <w:panose1 w:val="02000000000000000000"/>
    <w:charset w:val="00"/>
    <w:family w:val="auto"/>
    <w:pitch w:val="default"/>
    <w:sig w:usb0="00000000" w:usb1="00000000" w:usb2="00000008" w:usb3="00000000" w:csb0="00000041" w:csb1="00000000"/>
  </w:font>
  <w:font w:name="微软简行楷">
    <w:altName w:val="宋体"/>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OCR A Extended">
    <w:altName w:val="PMingLiU-ExtB"/>
    <w:panose1 w:val="02010509020102010303"/>
    <w:charset w:val="00"/>
    <w:family w:val="auto"/>
    <w:pitch w:val="default"/>
    <w:sig w:usb0="00000000" w:usb1="00000000" w:usb2="00000000" w:usb3="00000000" w:csb0="20000001" w:csb1="00000000"/>
  </w:font>
  <w:font w:name="宋体-18030">
    <w:altName w:val="宋体"/>
    <w:panose1 w:val="02010609060101010101"/>
    <w:charset w:val="86"/>
    <w:family w:val="auto"/>
    <w:pitch w:val="default"/>
    <w:sig w:usb0="00000000" w:usb1="00000000" w:usb2="000A005E"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auto"/>
    <w:pitch w:val="default"/>
    <w:sig w:usb0="00000000" w:usb1="00000000" w:usb2="00000008" w:usb3="00000000" w:csb0="000001FF" w:csb1="00000000"/>
  </w:font>
  <w:font w:name="Arial Rounded MT Bold">
    <w:altName w:val="Arial"/>
    <w:panose1 w:val="020F0704030504030204"/>
    <w:charset w:val="00"/>
    <w:family w:val="auto"/>
    <w:pitch w:val="default"/>
    <w:sig w:usb0="00000000" w:usb1="00000000" w:usb2="00000000" w:usb3="00000000" w:csb0="20000001" w:csb1="00000000"/>
  </w:font>
  <w:font w:name="Tekton Pro">
    <w:altName w:val="MV Boli"/>
    <w:panose1 w:val="020F0603020208090904"/>
    <w:charset w:val="00"/>
    <w:family w:val="auto"/>
    <w:pitch w:val="default"/>
    <w:sig w:usb0="00000000" w:usb1="00000000" w:usb2="00000000" w:usb3="00000000" w:csb0="20000093" w:csb1="00000000"/>
  </w:font>
  <w:font w:name="MS Reference Sans Serif">
    <w:altName w:val="Verdana"/>
    <w:panose1 w:val="020B0604030504040204"/>
    <w:charset w:val="00"/>
    <w:family w:val="auto"/>
    <w:pitch w:val="default"/>
    <w:sig w:usb0="00000000" w:usb1="00000000" w:usb2="00000000" w:usb3="00000000" w:csb0="2000019F" w:csb1="00000000"/>
  </w:font>
  <w:font w:name="夹发砰">
    <w:altName w:val="微软雅黑"/>
    <w:panose1 w:val="00000000000000000000"/>
    <w:charset w:val="00"/>
    <w:family w:val="auto"/>
    <w:pitch w:val="default"/>
    <w:sig w:usb0="00000000" w:usb1="00000000" w:usb2="00000000"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rPr>
                    <w:sz w:val="18"/>
                  </w:rPr>
                  <w:t>- 21 -</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pPr>
        <w:ind w:firstLine="420"/>
      </w:pPr>
      <w:rPr>
        <w:rFonts w:hint="eastAsia" w:cs="Times New Roman"/>
      </w:rPr>
    </w:lvl>
  </w:abstractNum>
  <w:abstractNum w:abstractNumId="7">
    <w:nsid w:val="00000007"/>
    <w:multiLevelType w:val="singleLevel"/>
    <w:tmpl w:val="00000007"/>
    <w:lvl w:ilvl="0" w:tentative="1">
      <w:start w:val="1"/>
      <w:numFmt w:val="chineseCounting"/>
      <w:suff w:val="nothing"/>
      <w:lvlText w:val="%1、"/>
      <w:lvlJc w:val="left"/>
      <w:pPr>
        <w:ind w:firstLine="420"/>
      </w:pPr>
      <w:rPr>
        <w:rFonts w:hint="eastAsia" w:cs="Times New Roman"/>
      </w:rPr>
    </w:lvl>
  </w:abstractNum>
  <w:abstractNum w:abstractNumId="10">
    <w:nsid w:val="0000000A"/>
    <w:multiLevelType w:val="singleLevel"/>
    <w:tmpl w:val="0000000A"/>
    <w:lvl w:ilvl="0" w:tentative="1">
      <w:start w:val="1"/>
      <w:numFmt w:val="chineseCounting"/>
      <w:suff w:val="nothing"/>
      <w:lvlText w:val="%1、"/>
      <w:lvlJc w:val="left"/>
      <w:rPr>
        <w:rFonts w:cs="Times New Roman"/>
      </w:rPr>
    </w:lvl>
  </w:abstractNum>
  <w:abstractNum w:abstractNumId="11">
    <w:nsid w:val="0000000B"/>
    <w:multiLevelType w:val="singleLevel"/>
    <w:tmpl w:val="0000000B"/>
    <w:lvl w:ilvl="0" w:tentative="1">
      <w:start w:val="1"/>
      <w:numFmt w:val="chineseCounting"/>
      <w:suff w:val="nothing"/>
      <w:lvlText w:val="（%1）"/>
      <w:lvlJc w:val="left"/>
      <w:pPr>
        <w:ind w:firstLine="420"/>
      </w:pPr>
      <w:rPr>
        <w:rFonts w:hint="eastAsia" w:cs="Times New Roman"/>
      </w:rPr>
    </w:lvl>
  </w:abstractNum>
  <w:abstractNum w:abstractNumId="12">
    <w:nsid w:val="0000000C"/>
    <w:multiLevelType w:val="singleLevel"/>
    <w:tmpl w:val="0000000C"/>
    <w:lvl w:ilvl="0" w:tentative="1">
      <w:start w:val="1"/>
      <w:numFmt w:val="chineseCounting"/>
      <w:suff w:val="nothing"/>
      <w:lvlText w:val="（%1）"/>
      <w:lvlJc w:val="left"/>
      <w:pPr>
        <w:ind w:firstLine="420"/>
      </w:pPr>
      <w:rPr>
        <w:rFonts w:hint="eastAsia" w:cs="Times New Roman"/>
      </w:rPr>
    </w:lvl>
  </w:abstractNum>
  <w:num w:numId="1">
    <w:abstractNumId w:val="10"/>
  </w:num>
  <w:num w:numId="2">
    <w:abstractNumId w:val="7"/>
  </w:num>
  <w:num w:numId="3">
    <w:abstractNumId w:val="11"/>
  </w:num>
  <w:num w:numId="4">
    <w:abstractNumId w:val="1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210"/>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5"/>
    <w:pPr>
      <w:tabs>
        <w:tab w:val="center" w:pos="4153"/>
        <w:tab w:val="right" w:pos="8306"/>
      </w:tabs>
      <w:snapToGrid w:val="0"/>
      <w:jc w:val="left"/>
    </w:pPr>
    <w:rPr>
      <w:rFonts w:ascii="Calibri" w:hAnsi="Calibri" w:cs="Times New Roman"/>
      <w:sz w:val="18"/>
      <w:szCs w:val="18"/>
    </w:rPr>
  </w:style>
  <w:style w:type="paragraph" w:styleId="3">
    <w:name w:val="header"/>
    <w:basedOn w:val="1"/>
    <w:link w:val="6"/>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Times New Roman"/>
      <w:sz w:val="18"/>
      <w:szCs w:val="18"/>
    </w:rPr>
  </w:style>
  <w:style w:type="character" w:customStyle="1" w:styleId="5">
    <w:name w:val="Footer Char"/>
    <w:basedOn w:val="4"/>
    <w:link w:val="2"/>
    <w:semiHidden/>
    <w:rPr>
      <w:rFonts w:ascii="Calibri" w:hAnsi="Calibri" w:cs="Times New Roman"/>
      <w:sz w:val="18"/>
      <w:szCs w:val="18"/>
    </w:rPr>
  </w:style>
  <w:style w:type="character" w:customStyle="1" w:styleId="6">
    <w:name w:val="Header Char"/>
    <w:basedOn w:val="4"/>
    <w:link w:val="3"/>
    <w:semiHidden/>
    <w:rPr>
      <w:rFonts w:ascii="Calibri" w:hAnsi="Calibri" w:cs="Times New Roman"/>
      <w:sz w:val="18"/>
      <w:szCs w:val="18"/>
    </w:rPr>
  </w:style>
  <w:style w:type="character" w:customStyle="1" w:styleId="7">
    <w:name w:val="font31"/>
    <w:basedOn w:val="4"/>
    <w:rPr>
      <w:rFonts w:ascii="Arial" w:hAnsi="Arial" w:cs="Arial"/>
      <w:color w:val="000000"/>
      <w:sz w:val="16"/>
      <w:szCs w:val="16"/>
      <w:u w:val="none"/>
    </w:rPr>
  </w:style>
  <w:style w:type="character" w:customStyle="1" w:styleId="8">
    <w:name w:val="font01"/>
    <w:basedOn w:val="4"/>
    <w:rPr>
      <w:rFonts w:ascii="Arial" w:hAnsi="Arial" w:cs="Arial"/>
      <w:color w:val="000000"/>
      <w:sz w:val="16"/>
      <w:szCs w:val="16"/>
      <w:u w:val="none"/>
    </w:rPr>
  </w:style>
  <w:style w:type="character" w:customStyle="1" w:styleId="9">
    <w:name w:val="font41"/>
    <w:basedOn w:val="4"/>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23</Pages>
  <Words>1340</Words>
  <Characters>7641</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2017-09-08T16:29:00Z</dcterms:created>
  <dc:creator>wsj</dc:creator>
  <cp:lastPrinted>2017-07-25T10:47:00Z</cp:lastPrinted>
  <dcterms:modified xsi:type="dcterms:W3CDTF">2017-11-14T20:08:44Z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