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D29156">
      <w:pPr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  <w:t>郏县卫生健康委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行政执法岗位职责清单</w:t>
      </w:r>
    </w:p>
    <w:tbl>
      <w:tblPr>
        <w:tblStyle w:val="2"/>
        <w:tblpPr w:leftFromText="180" w:rightFromText="180" w:vertAnchor="text" w:tblpX="331" w:tblpY="262"/>
        <w:tblOverlap w:val="never"/>
        <w:tblW w:w="137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3780"/>
        <w:gridCol w:w="1155"/>
        <w:gridCol w:w="7665"/>
      </w:tblGrid>
      <w:tr w14:paraId="140FCE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158" w:type="dxa"/>
            <w:tcBorders>
              <w:bottom w:val="single" w:color="auto" w:sz="4" w:space="0"/>
            </w:tcBorders>
            <w:noWrap w:val="0"/>
            <w:vAlign w:val="top"/>
          </w:tcPr>
          <w:p w14:paraId="4DD1C6F0">
            <w:pPr>
              <w:spacing w:line="360" w:lineRule="exact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科室各称</w:t>
            </w:r>
          </w:p>
        </w:tc>
        <w:tc>
          <w:tcPr>
            <w:tcW w:w="3780" w:type="dxa"/>
            <w:tcBorders>
              <w:bottom w:val="single" w:color="auto" w:sz="4" w:space="0"/>
            </w:tcBorders>
            <w:noWrap w:val="0"/>
            <w:vAlign w:val="top"/>
          </w:tcPr>
          <w:p w14:paraId="25DF3A12">
            <w:pPr>
              <w:spacing w:line="360" w:lineRule="exact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sz w:val="24"/>
              </w:rPr>
              <w:t>科室职责</w:t>
            </w:r>
          </w:p>
        </w:tc>
        <w:tc>
          <w:tcPr>
            <w:tcW w:w="1155" w:type="dxa"/>
            <w:noWrap w:val="0"/>
            <w:vAlign w:val="top"/>
          </w:tcPr>
          <w:p w14:paraId="55431AF0">
            <w:pPr>
              <w:spacing w:line="360" w:lineRule="exact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职责类别</w:t>
            </w:r>
          </w:p>
        </w:tc>
        <w:tc>
          <w:tcPr>
            <w:tcW w:w="7665" w:type="dxa"/>
            <w:noWrap w:val="0"/>
            <w:vAlign w:val="top"/>
          </w:tcPr>
          <w:p w14:paraId="47A3924A">
            <w:pPr>
              <w:spacing w:line="360" w:lineRule="exact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岗位职责</w:t>
            </w:r>
          </w:p>
        </w:tc>
      </w:tr>
      <w:tr w14:paraId="7EB386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</w:trPr>
        <w:tc>
          <w:tcPr>
            <w:tcW w:w="1158" w:type="dxa"/>
            <w:vMerge w:val="restart"/>
            <w:noWrap w:val="0"/>
            <w:vAlign w:val="center"/>
          </w:tcPr>
          <w:p w14:paraId="455A65BD"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eastAsia="zh-CN"/>
              </w:rPr>
              <w:t>郏县疾病预防控制中心（卫生</w:t>
            </w:r>
            <w:bookmarkStart w:id="0" w:name="_GoBack"/>
            <w:bookmarkEnd w:id="0"/>
            <w:r>
              <w:rPr>
                <w:rFonts w:hint="eastAsia" w:ascii="仿宋_GB2312" w:hAnsi="宋体" w:eastAsia="仿宋_GB2312" w:cs="宋体"/>
                <w:kern w:val="0"/>
                <w:sz w:val="24"/>
                <w:lang w:eastAsia="zh-CN"/>
              </w:rPr>
              <w:t>监督所）</w:t>
            </w:r>
          </w:p>
        </w:tc>
        <w:tc>
          <w:tcPr>
            <w:tcW w:w="3780" w:type="dxa"/>
            <w:vMerge w:val="restart"/>
            <w:noWrap w:val="0"/>
            <w:vAlign w:val="center"/>
          </w:tcPr>
          <w:p w14:paraId="2C4C5815">
            <w:pPr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负责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涉及郏县卫生健康领域行政执法工作</w:t>
            </w:r>
            <w:r>
              <w:rPr>
                <w:rFonts w:hint="eastAsia" w:ascii="仿宋_GB2312" w:hAnsi="宋体" w:eastAsia="仿宋_GB2312" w:cs="宋体"/>
                <w:sz w:val="24"/>
              </w:rPr>
              <w:t>；依据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卫生健康</w:t>
            </w:r>
            <w:r>
              <w:rPr>
                <w:rFonts w:hint="eastAsia" w:ascii="仿宋_GB2312" w:hAnsi="宋体" w:eastAsia="仿宋_GB2312" w:cs="宋体"/>
                <w:sz w:val="24"/>
              </w:rPr>
              <w:t>行政部门的委托依法对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郏县卫生健康</w:t>
            </w:r>
            <w:r>
              <w:rPr>
                <w:rFonts w:hint="eastAsia" w:ascii="仿宋_GB2312" w:hAnsi="宋体" w:eastAsia="仿宋_GB2312" w:cs="宋体"/>
                <w:sz w:val="24"/>
              </w:rPr>
              <w:t>领域进行监督检查。</w:t>
            </w:r>
          </w:p>
        </w:tc>
        <w:tc>
          <w:tcPr>
            <w:tcW w:w="1155" w:type="dxa"/>
            <w:vMerge w:val="restart"/>
            <w:noWrap w:val="0"/>
            <w:vAlign w:val="center"/>
          </w:tcPr>
          <w:p w14:paraId="693E671B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行政</w:t>
            </w:r>
          </w:p>
          <w:p w14:paraId="0B3E8D41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处罚</w:t>
            </w:r>
          </w:p>
        </w:tc>
        <w:tc>
          <w:tcPr>
            <w:tcW w:w="7665" w:type="dxa"/>
            <w:noWrap w:val="0"/>
            <w:vAlign w:val="center"/>
          </w:tcPr>
          <w:p w14:paraId="5B1C61BD">
            <w:pPr>
              <w:widowControl/>
              <w:spacing w:line="360" w:lineRule="exact"/>
              <w:jc w:val="left"/>
              <w:textAlignment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1.立案岗：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  <w:lang w:eastAsia="zh-CN"/>
              </w:rPr>
              <w:t>违反卫生健康法律法规行为的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</w:rPr>
              <w:t>处罚。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对检查中发现、接到举报投诉建设单位有上述违法行为的，予以审查，决定是否立案。</w:t>
            </w:r>
          </w:p>
        </w:tc>
      </w:tr>
      <w:tr w14:paraId="5E0136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6" w:hRule="atLeast"/>
        </w:trPr>
        <w:tc>
          <w:tcPr>
            <w:tcW w:w="1158" w:type="dxa"/>
            <w:vMerge w:val="continue"/>
            <w:noWrap w:val="0"/>
            <w:vAlign w:val="top"/>
          </w:tcPr>
          <w:p w14:paraId="77EB2BA5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3780" w:type="dxa"/>
            <w:vMerge w:val="continue"/>
            <w:noWrap w:val="0"/>
            <w:vAlign w:val="top"/>
          </w:tcPr>
          <w:p w14:paraId="33D1EE5E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1155" w:type="dxa"/>
            <w:vMerge w:val="continue"/>
            <w:noWrap w:val="0"/>
            <w:vAlign w:val="top"/>
          </w:tcPr>
          <w:p w14:paraId="3DCB4BEA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7665" w:type="dxa"/>
            <w:noWrap w:val="0"/>
            <w:vAlign w:val="center"/>
          </w:tcPr>
          <w:p w14:paraId="63C90A76">
            <w:pPr>
              <w:widowControl/>
              <w:spacing w:line="360" w:lineRule="exact"/>
              <w:jc w:val="left"/>
              <w:textAlignment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2.调查岗：对立案的案件，案件承办人员及时、全面、客观、公正第调查收集与案件有关的证据，查明事实，必要时可进行现场检查。与当事人有利害关系的应当回避；执法人员不得少于两人；调查取证时应出示执法证件；允许当事人辩解陈述。</w:t>
            </w:r>
          </w:p>
        </w:tc>
      </w:tr>
      <w:tr w14:paraId="728CD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58" w:type="dxa"/>
            <w:vMerge w:val="continue"/>
            <w:noWrap w:val="0"/>
            <w:vAlign w:val="top"/>
          </w:tcPr>
          <w:p w14:paraId="78C3F8CB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3780" w:type="dxa"/>
            <w:vMerge w:val="continue"/>
            <w:noWrap w:val="0"/>
            <w:vAlign w:val="top"/>
          </w:tcPr>
          <w:p w14:paraId="546D9FC3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1155" w:type="dxa"/>
            <w:vMerge w:val="continue"/>
            <w:noWrap w:val="0"/>
            <w:vAlign w:val="top"/>
          </w:tcPr>
          <w:p w14:paraId="47736748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7665" w:type="dxa"/>
            <w:noWrap w:val="0"/>
            <w:vAlign w:val="center"/>
          </w:tcPr>
          <w:p w14:paraId="664987BA">
            <w:pPr>
              <w:widowControl/>
              <w:spacing w:line="360" w:lineRule="exact"/>
              <w:jc w:val="left"/>
              <w:textAlignment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3.审查岗：对案件违法事实、证据、调查取证程序、法律适用、处罚种类和幅度、当事人陈述和申辩理由等方面进行审查，提出处理意见。</w:t>
            </w:r>
          </w:p>
        </w:tc>
      </w:tr>
      <w:tr w14:paraId="681916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158" w:type="dxa"/>
            <w:vMerge w:val="continue"/>
            <w:noWrap w:val="0"/>
            <w:vAlign w:val="top"/>
          </w:tcPr>
          <w:p w14:paraId="7563C456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3780" w:type="dxa"/>
            <w:vMerge w:val="continue"/>
            <w:noWrap w:val="0"/>
            <w:vAlign w:val="top"/>
          </w:tcPr>
          <w:p w14:paraId="0FBAEFF4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1155" w:type="dxa"/>
            <w:vMerge w:val="continue"/>
            <w:noWrap w:val="0"/>
            <w:vAlign w:val="top"/>
          </w:tcPr>
          <w:p w14:paraId="1D9EFAB3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7665" w:type="dxa"/>
            <w:noWrap w:val="0"/>
            <w:vAlign w:val="center"/>
          </w:tcPr>
          <w:p w14:paraId="6C7FE242">
            <w:pPr>
              <w:widowControl/>
              <w:spacing w:line="360" w:lineRule="exact"/>
              <w:jc w:val="left"/>
              <w:textAlignment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4.告知岗：在作出行政处罚决定前，书面告知当事人拟做出处罚决定的事实、理由、依据、处罚内容，以及当事人享有的陈述权、申辩权和听证权。</w:t>
            </w:r>
          </w:p>
        </w:tc>
      </w:tr>
      <w:tr w14:paraId="5FE921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158" w:type="dxa"/>
            <w:vMerge w:val="continue"/>
            <w:noWrap w:val="0"/>
            <w:vAlign w:val="top"/>
          </w:tcPr>
          <w:p w14:paraId="01578D1A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3780" w:type="dxa"/>
            <w:vMerge w:val="continue"/>
            <w:noWrap w:val="0"/>
            <w:vAlign w:val="top"/>
          </w:tcPr>
          <w:p w14:paraId="1DAD74E4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1155" w:type="dxa"/>
            <w:vMerge w:val="continue"/>
            <w:noWrap w:val="0"/>
            <w:vAlign w:val="top"/>
          </w:tcPr>
          <w:p w14:paraId="4C6C46F3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7665" w:type="dxa"/>
            <w:noWrap w:val="0"/>
            <w:vAlign w:val="center"/>
          </w:tcPr>
          <w:p w14:paraId="0DB40A82">
            <w:pPr>
              <w:widowControl/>
              <w:spacing w:line="360" w:lineRule="exact"/>
              <w:jc w:val="left"/>
              <w:textAlignment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5.决定岗：</w:t>
            </w:r>
            <w:r>
              <w:rPr>
                <w:rFonts w:hint="eastAsia" w:ascii="仿宋_GB2312" w:hAnsi="宋体" w:eastAsia="仿宋_GB2312" w:cs="宋体"/>
                <w:color w:val="000000"/>
                <w:sz w:val="24"/>
              </w:rPr>
              <w:t>排水单位或个人逾期不缴纳污水处理费的处罚。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依据</w:t>
            </w:r>
            <w:r>
              <w:rPr>
                <w:rFonts w:hint="eastAsia" w:ascii="仿宋_GB2312" w:hAnsi="宋体" w:eastAsia="仿宋_GB2312"/>
                <w:kern w:val="0"/>
                <w:sz w:val="24"/>
              </w:rPr>
              <w:t>《</w:t>
            </w:r>
            <w:r>
              <w:rPr>
                <w:rFonts w:hint="eastAsia" w:ascii="仿宋_GB2312" w:hAnsi="宋体" w:eastAsia="仿宋_GB2312"/>
                <w:kern w:val="0"/>
                <w:sz w:val="24"/>
                <w:lang w:eastAsia="zh-CN"/>
              </w:rPr>
              <w:t>中华人民共和国传染病防治法</w:t>
            </w:r>
            <w:r>
              <w:rPr>
                <w:rFonts w:hint="eastAsia" w:ascii="仿宋_GB2312" w:hAnsi="宋体" w:eastAsia="仿宋_GB2312"/>
                <w:kern w:val="0"/>
                <w:sz w:val="24"/>
              </w:rPr>
              <w:t>》、《</w:t>
            </w:r>
            <w:r>
              <w:rPr>
                <w:rFonts w:hint="eastAsia" w:ascii="仿宋_GB2312" w:hAnsi="宋体" w:eastAsia="仿宋_GB2312"/>
                <w:kern w:val="0"/>
                <w:sz w:val="24"/>
                <w:lang w:eastAsia="zh-CN"/>
              </w:rPr>
              <w:t>中华人民共和国执业医师法</w:t>
            </w:r>
            <w:r>
              <w:rPr>
                <w:rFonts w:hint="eastAsia" w:ascii="仿宋_GB2312" w:hAnsi="宋体" w:eastAsia="仿宋_GB2312"/>
                <w:kern w:val="0"/>
                <w:sz w:val="24"/>
              </w:rPr>
              <w:t>》</w:t>
            </w:r>
            <w:r>
              <w:rPr>
                <w:rFonts w:hint="eastAsia" w:ascii="仿宋_GB2312" w:hAnsi="宋体" w:eastAsia="仿宋_GB2312"/>
                <w:kern w:val="0"/>
                <w:sz w:val="24"/>
                <w:lang w:eastAsia="zh-CN"/>
              </w:rPr>
              <w:t>、《中华人民共和国职业病防治法》、《医疗机构管理条例》、《公共场所管理条例》、《学校卫生工作条例》、《生活饮用水卫生管理办法》等法律法规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需要给予行政处罚的，应制作《行政处罚决定书》，载明违法事实和依据、处罚依据和内容、申请行政复议或提起行政诉讼的途径和期限等内容。</w:t>
            </w:r>
          </w:p>
        </w:tc>
      </w:tr>
      <w:tr w14:paraId="39CBD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158" w:type="dxa"/>
            <w:vMerge w:val="continue"/>
            <w:noWrap w:val="0"/>
            <w:vAlign w:val="top"/>
          </w:tcPr>
          <w:p w14:paraId="0585E5AD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3780" w:type="dxa"/>
            <w:vMerge w:val="continue"/>
            <w:noWrap w:val="0"/>
            <w:vAlign w:val="top"/>
          </w:tcPr>
          <w:p w14:paraId="64522EC1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1155" w:type="dxa"/>
            <w:vMerge w:val="continue"/>
            <w:noWrap w:val="0"/>
            <w:vAlign w:val="top"/>
          </w:tcPr>
          <w:p w14:paraId="42E6AA8C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7665" w:type="dxa"/>
            <w:noWrap w:val="0"/>
            <w:vAlign w:val="center"/>
          </w:tcPr>
          <w:p w14:paraId="6135FC4E">
            <w:pPr>
              <w:widowControl/>
              <w:spacing w:line="360" w:lineRule="exact"/>
              <w:jc w:val="left"/>
              <w:textAlignment w:val="center"/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6.送达岗：行政处罚决定书应当在宣告后当场交付当事人；当事人不在场的，行政机关应当在七日内依照民事诉讼法的有关规定，将行政处罚决定书送达当事人。</w:t>
            </w:r>
          </w:p>
        </w:tc>
      </w:tr>
      <w:tr w14:paraId="5812B6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9" w:hRule="atLeast"/>
        </w:trPr>
        <w:tc>
          <w:tcPr>
            <w:tcW w:w="1158" w:type="dxa"/>
            <w:vMerge w:val="continue"/>
            <w:noWrap w:val="0"/>
            <w:vAlign w:val="top"/>
          </w:tcPr>
          <w:p w14:paraId="24CBFD04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3780" w:type="dxa"/>
            <w:vMerge w:val="continue"/>
            <w:noWrap w:val="0"/>
            <w:vAlign w:val="top"/>
          </w:tcPr>
          <w:p w14:paraId="36FB073A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1155" w:type="dxa"/>
            <w:vMerge w:val="continue"/>
            <w:noWrap w:val="0"/>
            <w:vAlign w:val="top"/>
          </w:tcPr>
          <w:p w14:paraId="7A01B9F7"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7665" w:type="dxa"/>
            <w:noWrap w:val="0"/>
            <w:vAlign w:val="center"/>
          </w:tcPr>
          <w:p w14:paraId="4AFA4130">
            <w:pPr>
              <w:widowControl/>
              <w:spacing w:line="360" w:lineRule="exact"/>
              <w:jc w:val="left"/>
              <w:textAlignment w:val="center"/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7.执行岗：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lang w:eastAsia="zh-CN" w:bidi="ar"/>
              </w:rPr>
              <w:t>被处罚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lang w:bidi="ar"/>
              </w:rPr>
              <w:t>当事人在决定的期限内（15日内）履行生效的行政处罚决定。当事人在法定期限内没有申请行政复议或提起行政诉讼，又经催告后仍不履行的，可申请人民法院强制执行。</w:t>
            </w:r>
          </w:p>
        </w:tc>
      </w:tr>
      <w:tr w14:paraId="6AD40D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1158" w:type="dxa"/>
            <w:vMerge w:val="continue"/>
            <w:tcBorders>
              <w:bottom w:val="single" w:color="auto" w:sz="4" w:space="0"/>
            </w:tcBorders>
            <w:noWrap w:val="0"/>
            <w:vAlign w:val="top"/>
          </w:tcPr>
          <w:p w14:paraId="1643E214">
            <w:pPr>
              <w:spacing w:line="320" w:lineRule="exact"/>
              <w:jc w:val="center"/>
              <w:rPr>
                <w:rFonts w:hint="eastAsia" w:ascii="仿宋_GB2312" w:eastAsia="仿宋_GB2312"/>
                <w:color w:val="0000FF"/>
                <w:sz w:val="24"/>
              </w:rPr>
            </w:pPr>
          </w:p>
        </w:tc>
        <w:tc>
          <w:tcPr>
            <w:tcW w:w="3780" w:type="dxa"/>
            <w:vMerge w:val="continue"/>
            <w:tcBorders>
              <w:bottom w:val="single" w:color="auto" w:sz="4" w:space="0"/>
            </w:tcBorders>
            <w:noWrap w:val="0"/>
            <w:vAlign w:val="top"/>
          </w:tcPr>
          <w:p w14:paraId="265C70D4">
            <w:pPr>
              <w:spacing w:line="320" w:lineRule="exact"/>
              <w:jc w:val="center"/>
              <w:rPr>
                <w:rFonts w:hint="eastAsia" w:ascii="仿宋_GB2312" w:eastAsia="仿宋_GB2312"/>
                <w:color w:val="0000FF"/>
                <w:sz w:val="24"/>
              </w:rPr>
            </w:pPr>
          </w:p>
        </w:tc>
        <w:tc>
          <w:tcPr>
            <w:tcW w:w="1155" w:type="dxa"/>
            <w:vMerge w:val="continue"/>
            <w:tcBorders>
              <w:bottom w:val="single" w:color="auto" w:sz="4" w:space="0"/>
            </w:tcBorders>
            <w:noWrap w:val="0"/>
            <w:vAlign w:val="top"/>
          </w:tcPr>
          <w:p w14:paraId="1D335F0C">
            <w:pPr>
              <w:spacing w:line="320" w:lineRule="exact"/>
              <w:jc w:val="center"/>
              <w:rPr>
                <w:rFonts w:hint="eastAsia" w:ascii="仿宋_GB2312" w:eastAsia="仿宋_GB2312"/>
                <w:color w:val="0000FF"/>
                <w:sz w:val="24"/>
              </w:rPr>
            </w:pPr>
          </w:p>
        </w:tc>
        <w:tc>
          <w:tcPr>
            <w:tcW w:w="7665" w:type="dxa"/>
            <w:tcBorders>
              <w:bottom w:val="single" w:color="auto" w:sz="4" w:space="0"/>
            </w:tcBorders>
            <w:noWrap w:val="0"/>
            <w:vAlign w:val="center"/>
          </w:tcPr>
          <w:p w14:paraId="624449E1">
            <w:pPr>
              <w:widowControl/>
              <w:jc w:val="left"/>
              <w:textAlignment w:val="center"/>
              <w:rPr>
                <w:rFonts w:hint="eastAsia" w:ascii="仿宋_GB2312" w:hAnsi="宋体" w:eastAsia="仿宋_GB2312" w:cs="宋体"/>
                <w:color w:val="0000FF"/>
                <w:kern w:val="0"/>
                <w:sz w:val="24"/>
                <w:lang w:bidi="ar"/>
              </w:rPr>
            </w:pPr>
          </w:p>
        </w:tc>
      </w:tr>
    </w:tbl>
    <w:p w14:paraId="1179A41A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EF0FB4"/>
    <w:rsid w:val="12567D02"/>
    <w:rsid w:val="12EF0FB4"/>
    <w:rsid w:val="646C2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733</Words>
  <Characters>741</Characters>
  <Lines>0</Lines>
  <Paragraphs>0</Paragraphs>
  <TotalTime>5</TotalTime>
  <ScaleCrop>false</ScaleCrop>
  <LinksUpToDate>false</LinksUpToDate>
  <CharactersWithSpaces>741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2019-12-09T00:54:00Z</dcterms:created>
  <dc:creator>admin</dc:creator>
  <cp:lastModifiedBy>Administrator</cp:lastModifiedBy>
  <dcterms:modified xsi:type="dcterms:W3CDTF">2025-02-21T02:28:07Z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9C28A1A769984C01BF67980C08D68FB4</vt:lpwstr>
  </property>
  <property fmtid="{D5CDD505-2E9C-101B-9397-08002B2CF9AE}" pid="4" name="KSOTemplateDocerSaveRecord">
    <vt:lpwstr>eyJoZGlkIjoiZDY0NjllMjU4MDc1NWI5YzI4ODBmNzdlZGUwNzI4M2EifQ==</vt:lpwstr>
  </property>
</Properties>
</file>