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证照联办范围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新办类8项：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1.《营业执照》与《计量授权证书》联办；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特种设备使用登记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《食品生产许可证》；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《食品经营许可(除仅销售预包装食品外）》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《药品经营综合许可证》（以同时申请“药品零售经营”“第二类医疗器械零售经营”的情形为例）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《药品经营综合许可证》（经营范围仅含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第二类精神药品零售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《河南省食品小经营店登记证》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》与《河南省食品小作坊登记证》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变更类10项（同免审通办）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》与《食品生产许可证》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》与《食品经营许可证》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》与《河南省食品小经营店登记证》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》与《河南省食品小作坊登记证》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》与《药品经营综合许可证》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》与《药品经营许可证》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》与《特种设备使用登记证》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》与《计量标准考核证书》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》与《专项计量授权证书》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》与《麻醉药品和第一类精神药品运输证明》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26371F22"/>
    <w:rsid w:val="0FE9080D"/>
    <w:rsid w:val="262E6894"/>
    <w:rsid w:val="26371F22"/>
    <w:rsid w:val="2CBD44E8"/>
    <w:rsid w:val="344A2FA2"/>
    <w:rsid w:val="49AD3187"/>
    <w:rsid w:val="5FCC081E"/>
    <w:rsid w:val="64950CFA"/>
    <w:rsid w:val="64EB53CF"/>
    <w:rsid w:val="707324D0"/>
    <w:rsid w:val="726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"/>
    <w:basedOn w:val="1"/>
    <w:next w:val="1"/>
    <w:qFormat/>
    <w:uiPriority w:val="0"/>
    <w:rPr>
      <w:rFonts w:eastAsia="仿宋_GB2312"/>
      <w:color w:val="000000"/>
      <w:kern w:val="0"/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5821</Words>
  <Characters>6075</Characters>
  <Lines>0</Lines>
  <Paragraphs>0</Paragraphs>
  <TotalTime>24</TotalTime>
  <ScaleCrop>false</ScaleCrop>
  <LinksUpToDate>false</LinksUpToDate>
  <CharactersWithSpaces>6076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2022-08-24T08:30:00Z</dcterms:created>
  <dc:creator>赵洒</dc:creator>
  <cp:lastModifiedBy>LGM</cp:lastModifiedBy>
  <cp:lastPrinted>2022-10-09T02:22:00Z</cp:lastPrinted>
  <dcterms:modified xsi:type="dcterms:W3CDTF">2022-12-03T07:28:40Z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7579B1F04DA84147ACD2F61BACECD401</vt:lpwstr>
  </property>
</Properties>
</file>